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2258F" w14:textId="68D278E5" w:rsidR="00242B8C" w:rsidRPr="00F62AD6" w:rsidRDefault="004E44B0" w:rsidP="00F62AD6">
      <w:pPr>
        <w:rPr>
          <w:rFonts w:ascii="Arial" w:hAnsi="Arial" w:cs="Arial"/>
          <w:b/>
          <w:sz w:val="20"/>
          <w:szCs w:val="20"/>
          <w:u w:val="single"/>
        </w:rPr>
      </w:pPr>
      <w:r w:rsidRPr="00F62AD6">
        <w:rPr>
          <w:rFonts w:ascii="Arial" w:hAnsi="Arial" w:cs="Arial"/>
          <w:b/>
          <w:sz w:val="20"/>
          <w:szCs w:val="20"/>
          <w:u w:val="single"/>
        </w:rPr>
        <w:t xml:space="preserve">Notes on </w:t>
      </w:r>
      <w:bookmarkStart w:id="0" w:name="_Hlk41394468"/>
      <w:r w:rsidR="00100784" w:rsidRPr="00F62AD6">
        <w:rPr>
          <w:rFonts w:ascii="Arial" w:hAnsi="Arial" w:cs="Arial"/>
          <w:b/>
          <w:sz w:val="20"/>
          <w:szCs w:val="20"/>
          <w:u w:val="single"/>
        </w:rPr>
        <w:t xml:space="preserve">Prosecutions </w:t>
      </w:r>
      <w:r w:rsidR="007F15E9" w:rsidRPr="00F62AD6">
        <w:rPr>
          <w:rFonts w:ascii="Arial" w:hAnsi="Arial" w:cs="Arial"/>
          <w:b/>
          <w:sz w:val="20"/>
          <w:szCs w:val="20"/>
          <w:u w:val="single"/>
        </w:rPr>
        <w:t>for combinations of offences</w:t>
      </w:r>
      <w:bookmarkEnd w:id="0"/>
      <w:r w:rsidR="00775040">
        <w:rPr>
          <w:rFonts w:ascii="Arial" w:hAnsi="Arial" w:cs="Arial"/>
          <w:b/>
          <w:sz w:val="20"/>
          <w:szCs w:val="20"/>
          <w:u w:val="single"/>
        </w:rPr>
        <w:t xml:space="preserve"> CSV</w:t>
      </w:r>
    </w:p>
    <w:p w14:paraId="49D34B92" w14:textId="1FA15BD5" w:rsidR="004E44B0" w:rsidRPr="00F62AD6" w:rsidRDefault="004E44B0" w:rsidP="004E44B0">
      <w:pPr>
        <w:rPr>
          <w:rFonts w:ascii="Arial" w:hAnsi="Arial" w:cs="Arial"/>
          <w:sz w:val="20"/>
          <w:szCs w:val="20"/>
          <w:u w:val="single"/>
        </w:rPr>
      </w:pPr>
      <w:r w:rsidRPr="00F62AD6">
        <w:rPr>
          <w:rFonts w:ascii="Arial" w:hAnsi="Arial" w:cs="Arial"/>
          <w:sz w:val="20"/>
          <w:szCs w:val="20"/>
          <w:u w:val="single"/>
        </w:rPr>
        <w:t>Background</w:t>
      </w:r>
    </w:p>
    <w:p w14:paraId="27F9E721" w14:textId="4D7E3096" w:rsidR="005E6114" w:rsidRPr="00F62AD6" w:rsidRDefault="004A5A37" w:rsidP="004A5A37">
      <w:pPr>
        <w:rPr>
          <w:rFonts w:ascii="Arial" w:hAnsi="Arial" w:cs="Arial"/>
          <w:sz w:val="20"/>
          <w:szCs w:val="20"/>
        </w:rPr>
      </w:pPr>
      <w:r w:rsidRPr="00F62AD6">
        <w:rPr>
          <w:rFonts w:ascii="Arial" w:hAnsi="Arial" w:cs="Arial"/>
          <w:sz w:val="20"/>
          <w:szCs w:val="20"/>
        </w:rPr>
        <w:t xml:space="preserve">The </w:t>
      </w:r>
      <w:r w:rsidR="00D85AB5" w:rsidRPr="00F62AD6">
        <w:rPr>
          <w:rFonts w:ascii="Arial" w:hAnsi="Arial" w:cs="Arial"/>
          <w:sz w:val="20"/>
          <w:szCs w:val="20"/>
        </w:rPr>
        <w:t>CSV</w:t>
      </w:r>
      <w:r w:rsidRPr="00F62AD6">
        <w:rPr>
          <w:rFonts w:ascii="Arial" w:hAnsi="Arial" w:cs="Arial"/>
          <w:sz w:val="20"/>
          <w:szCs w:val="20"/>
        </w:rPr>
        <w:t xml:space="preserve"> file</w:t>
      </w:r>
      <w:r w:rsidR="00100784" w:rsidRPr="00F62AD6">
        <w:rPr>
          <w:rFonts w:ascii="Arial" w:hAnsi="Arial" w:cs="Arial"/>
          <w:sz w:val="20"/>
          <w:szCs w:val="20"/>
        </w:rPr>
        <w:t>s</w:t>
      </w:r>
      <w:r w:rsidR="00006022" w:rsidRPr="00F62AD6">
        <w:rPr>
          <w:rFonts w:ascii="Arial" w:hAnsi="Arial" w:cs="Arial"/>
          <w:sz w:val="20"/>
          <w:szCs w:val="20"/>
        </w:rPr>
        <w:t xml:space="preserve"> </w:t>
      </w:r>
      <w:r w:rsidRPr="00F62AD6">
        <w:rPr>
          <w:rFonts w:ascii="Arial" w:hAnsi="Arial" w:cs="Arial"/>
          <w:sz w:val="20"/>
          <w:szCs w:val="20"/>
        </w:rPr>
        <w:t>acco</w:t>
      </w:r>
      <w:r w:rsidR="00950720" w:rsidRPr="00F62AD6">
        <w:rPr>
          <w:rFonts w:ascii="Arial" w:hAnsi="Arial" w:cs="Arial"/>
          <w:sz w:val="20"/>
          <w:szCs w:val="20"/>
        </w:rPr>
        <w:t>mpanying this document contain</w:t>
      </w:r>
      <w:r w:rsidR="00006022" w:rsidRPr="00F62AD6">
        <w:rPr>
          <w:rFonts w:ascii="Arial" w:hAnsi="Arial" w:cs="Arial"/>
          <w:sz w:val="20"/>
          <w:szCs w:val="20"/>
        </w:rPr>
        <w:t>s</w:t>
      </w:r>
      <w:r w:rsidR="00950720" w:rsidRPr="00F62AD6">
        <w:rPr>
          <w:rFonts w:ascii="Arial" w:hAnsi="Arial" w:cs="Arial"/>
          <w:b/>
          <w:sz w:val="20"/>
          <w:szCs w:val="20"/>
        </w:rPr>
        <w:t xml:space="preserve"> </w:t>
      </w:r>
      <w:r w:rsidR="00775040">
        <w:rPr>
          <w:rFonts w:ascii="Arial" w:hAnsi="Arial" w:cs="Arial"/>
          <w:sz w:val="20"/>
          <w:szCs w:val="20"/>
        </w:rPr>
        <w:t>s</w:t>
      </w:r>
      <w:r w:rsidRPr="00F62AD6">
        <w:rPr>
          <w:rFonts w:ascii="Arial" w:hAnsi="Arial" w:cs="Arial"/>
          <w:sz w:val="20"/>
          <w:szCs w:val="20"/>
        </w:rPr>
        <w:t>tatistics</w:t>
      </w:r>
      <w:r w:rsidR="005E6114" w:rsidRPr="00F62AD6">
        <w:rPr>
          <w:rFonts w:ascii="Arial" w:hAnsi="Arial" w:cs="Arial"/>
          <w:sz w:val="20"/>
          <w:szCs w:val="20"/>
        </w:rPr>
        <w:t xml:space="preserve"> showing</w:t>
      </w:r>
      <w:r w:rsidR="00100784" w:rsidRPr="00F62AD6">
        <w:rPr>
          <w:rFonts w:ascii="Arial" w:hAnsi="Arial" w:cs="Arial"/>
          <w:sz w:val="20"/>
          <w:szCs w:val="20"/>
        </w:rPr>
        <w:t xml:space="preserve"> a)</w:t>
      </w:r>
      <w:r w:rsidR="005E6114" w:rsidRPr="00F62AD6">
        <w:rPr>
          <w:rFonts w:ascii="Arial" w:hAnsi="Arial" w:cs="Arial"/>
          <w:sz w:val="20"/>
          <w:szCs w:val="20"/>
        </w:rPr>
        <w:t xml:space="preserve"> </w:t>
      </w:r>
      <w:r w:rsidR="00006022" w:rsidRPr="00F62AD6">
        <w:rPr>
          <w:rFonts w:ascii="Arial" w:hAnsi="Arial" w:cs="Arial"/>
          <w:sz w:val="20"/>
          <w:szCs w:val="20"/>
        </w:rPr>
        <w:t xml:space="preserve">the numbers of defendants prosecuted for different </w:t>
      </w:r>
      <w:r w:rsidR="00B220D1" w:rsidRPr="00F62AD6">
        <w:rPr>
          <w:rFonts w:ascii="Arial" w:hAnsi="Arial" w:cs="Arial"/>
          <w:sz w:val="20"/>
          <w:szCs w:val="20"/>
        </w:rPr>
        <w:t>combinations of</w:t>
      </w:r>
      <w:r w:rsidR="00365423" w:rsidRPr="00F62AD6">
        <w:rPr>
          <w:rFonts w:ascii="Arial" w:hAnsi="Arial" w:cs="Arial"/>
          <w:sz w:val="20"/>
          <w:szCs w:val="20"/>
        </w:rPr>
        <w:t xml:space="preserve"> </w:t>
      </w:r>
      <w:r w:rsidR="00B220D1" w:rsidRPr="00F62AD6">
        <w:rPr>
          <w:rFonts w:ascii="Arial" w:hAnsi="Arial" w:cs="Arial"/>
          <w:sz w:val="20"/>
          <w:szCs w:val="20"/>
        </w:rPr>
        <w:t xml:space="preserve">offences </w:t>
      </w:r>
      <w:r w:rsidR="00A01311" w:rsidRPr="00F62AD6">
        <w:rPr>
          <w:rFonts w:ascii="Arial" w:hAnsi="Arial" w:cs="Arial"/>
          <w:sz w:val="20"/>
          <w:szCs w:val="20"/>
        </w:rPr>
        <w:t xml:space="preserve">at magistrates’ courts for each offence </w:t>
      </w:r>
      <w:r w:rsidR="006714D3" w:rsidRPr="00F62AD6">
        <w:rPr>
          <w:rFonts w:ascii="Arial" w:hAnsi="Arial" w:cs="Arial"/>
          <w:sz w:val="20"/>
          <w:szCs w:val="20"/>
        </w:rPr>
        <w:t xml:space="preserve">in </w:t>
      </w:r>
      <w:r w:rsidR="009F1D84" w:rsidRPr="00F62AD6">
        <w:rPr>
          <w:rFonts w:ascii="Arial" w:hAnsi="Arial" w:cs="Arial"/>
          <w:sz w:val="20"/>
          <w:szCs w:val="20"/>
        </w:rPr>
        <w:t xml:space="preserve">calendar years </w:t>
      </w:r>
      <w:r w:rsidR="006714D3" w:rsidRPr="00F62AD6">
        <w:rPr>
          <w:rFonts w:ascii="Arial" w:hAnsi="Arial" w:cs="Arial"/>
          <w:sz w:val="20"/>
          <w:szCs w:val="20"/>
        </w:rPr>
        <w:t>201</w:t>
      </w:r>
      <w:r w:rsidR="00125FE5">
        <w:rPr>
          <w:rFonts w:ascii="Arial" w:hAnsi="Arial" w:cs="Arial"/>
          <w:sz w:val="20"/>
          <w:szCs w:val="20"/>
        </w:rPr>
        <w:t>8</w:t>
      </w:r>
      <w:r w:rsidR="00342991" w:rsidRPr="00F62AD6">
        <w:rPr>
          <w:rFonts w:ascii="Arial" w:hAnsi="Arial" w:cs="Arial"/>
          <w:sz w:val="20"/>
          <w:szCs w:val="20"/>
        </w:rPr>
        <w:t xml:space="preserve"> </w:t>
      </w:r>
      <w:r w:rsidR="00E104F1" w:rsidRPr="00F62AD6">
        <w:rPr>
          <w:rFonts w:ascii="Arial" w:hAnsi="Arial" w:cs="Arial"/>
          <w:sz w:val="20"/>
          <w:szCs w:val="20"/>
        </w:rPr>
        <w:t xml:space="preserve">to </w:t>
      </w:r>
      <w:r w:rsidR="00F62AD6" w:rsidRPr="00F62AD6">
        <w:rPr>
          <w:rFonts w:ascii="Arial" w:hAnsi="Arial" w:cs="Arial"/>
          <w:sz w:val="20"/>
          <w:szCs w:val="20"/>
        </w:rPr>
        <w:t>202</w:t>
      </w:r>
      <w:r w:rsidR="00125FE5">
        <w:rPr>
          <w:rFonts w:ascii="Arial" w:hAnsi="Arial" w:cs="Arial"/>
          <w:sz w:val="20"/>
          <w:szCs w:val="20"/>
        </w:rPr>
        <w:t>2</w:t>
      </w:r>
      <w:r w:rsidR="00F62AD6" w:rsidRPr="00F62AD6">
        <w:rPr>
          <w:rFonts w:ascii="Arial" w:hAnsi="Arial" w:cs="Arial"/>
          <w:sz w:val="20"/>
          <w:szCs w:val="20"/>
        </w:rPr>
        <w:t>.</w:t>
      </w:r>
    </w:p>
    <w:p w14:paraId="3967AA3D" w14:textId="3BDBB028" w:rsidR="00D45234" w:rsidRPr="00F62AD6" w:rsidRDefault="005E5267" w:rsidP="00A67A30">
      <w:pPr>
        <w:rPr>
          <w:rFonts w:ascii="Arial" w:hAnsi="Arial" w:cs="Arial"/>
          <w:sz w:val="20"/>
          <w:szCs w:val="20"/>
        </w:rPr>
      </w:pPr>
      <w:r w:rsidRPr="00F62AD6">
        <w:rPr>
          <w:rFonts w:ascii="Arial" w:hAnsi="Arial" w:cs="Arial"/>
          <w:sz w:val="20"/>
          <w:szCs w:val="20"/>
        </w:rPr>
        <w:t>Most of the</w:t>
      </w:r>
      <w:r w:rsidR="005E6114" w:rsidRPr="00F62AD6">
        <w:rPr>
          <w:rFonts w:ascii="Arial" w:hAnsi="Arial" w:cs="Arial"/>
          <w:sz w:val="20"/>
          <w:szCs w:val="20"/>
        </w:rPr>
        <w:t xml:space="preserve"> information in the ‘Criminal Justice System statistics quarterly: December </w:t>
      </w:r>
      <w:r w:rsidR="00F62AD6" w:rsidRPr="00F62AD6">
        <w:rPr>
          <w:rFonts w:ascii="Arial" w:hAnsi="Arial" w:cs="Arial"/>
          <w:sz w:val="20"/>
          <w:szCs w:val="20"/>
        </w:rPr>
        <w:t>202</w:t>
      </w:r>
      <w:r w:rsidR="00125FE5">
        <w:rPr>
          <w:rFonts w:ascii="Arial" w:hAnsi="Arial" w:cs="Arial"/>
          <w:sz w:val="20"/>
          <w:szCs w:val="20"/>
        </w:rPr>
        <w:t>2</w:t>
      </w:r>
      <w:r w:rsidR="00F62AD6" w:rsidRPr="00F62AD6">
        <w:rPr>
          <w:rFonts w:ascii="Arial" w:hAnsi="Arial" w:cs="Arial"/>
          <w:sz w:val="20"/>
          <w:szCs w:val="20"/>
        </w:rPr>
        <w:t>’</w:t>
      </w:r>
      <w:r w:rsidR="005E6114" w:rsidRPr="00F62AD6">
        <w:rPr>
          <w:rFonts w:ascii="Arial" w:hAnsi="Arial" w:cs="Arial"/>
          <w:sz w:val="20"/>
          <w:szCs w:val="20"/>
        </w:rPr>
        <w:t xml:space="preserve"> publication is reported on a ‘principal offence </w:t>
      </w:r>
      <w:proofErr w:type="spellStart"/>
      <w:r w:rsidR="005E6114" w:rsidRPr="00F62AD6">
        <w:rPr>
          <w:rFonts w:ascii="Arial" w:hAnsi="Arial" w:cs="Arial"/>
          <w:sz w:val="20"/>
          <w:szCs w:val="20"/>
        </w:rPr>
        <w:t>basis</w:t>
      </w:r>
      <w:r w:rsidR="00577C49" w:rsidRPr="00F62AD6">
        <w:rPr>
          <w:rFonts w:ascii="Arial" w:hAnsi="Arial" w:cs="Arial"/>
          <w:sz w:val="20"/>
          <w:szCs w:val="20"/>
        </w:rPr>
        <w:t>’</w:t>
      </w:r>
      <w:proofErr w:type="spellEnd"/>
      <w:r w:rsidR="00276FDC" w:rsidRPr="00F62AD6">
        <w:rPr>
          <w:rStyle w:val="FootnoteReference"/>
          <w:rFonts w:ascii="Arial" w:hAnsi="Arial" w:cs="Arial"/>
          <w:sz w:val="20"/>
          <w:szCs w:val="20"/>
        </w:rPr>
        <w:footnoteReference w:id="2"/>
      </w:r>
      <w:r w:rsidR="005E6114" w:rsidRPr="00F62AD6">
        <w:rPr>
          <w:rFonts w:ascii="Arial" w:hAnsi="Arial" w:cs="Arial"/>
          <w:sz w:val="20"/>
          <w:szCs w:val="20"/>
        </w:rPr>
        <w:t xml:space="preserve">. </w:t>
      </w:r>
      <w:r w:rsidR="006714D3" w:rsidRPr="00F62AD6">
        <w:rPr>
          <w:rFonts w:ascii="Arial" w:hAnsi="Arial" w:cs="Arial"/>
          <w:sz w:val="20"/>
          <w:szCs w:val="20"/>
        </w:rPr>
        <w:t>This means that w</w:t>
      </w:r>
      <w:r w:rsidR="005E6114" w:rsidRPr="00F62AD6">
        <w:rPr>
          <w:rFonts w:ascii="Arial" w:hAnsi="Arial" w:cs="Arial"/>
          <w:sz w:val="20"/>
          <w:szCs w:val="20"/>
        </w:rPr>
        <w:t xml:space="preserve">here </w:t>
      </w:r>
      <w:r w:rsidR="00A67A30" w:rsidRPr="00F62AD6">
        <w:rPr>
          <w:rFonts w:ascii="Arial" w:hAnsi="Arial" w:cs="Arial"/>
          <w:sz w:val="20"/>
          <w:szCs w:val="20"/>
        </w:rPr>
        <w:t>a defendant is proceeded against for more than once offence, they will only be counted for their principal offence.</w:t>
      </w:r>
      <w:r w:rsidR="00950720" w:rsidRPr="00F62AD6">
        <w:rPr>
          <w:rFonts w:ascii="Arial" w:hAnsi="Arial" w:cs="Arial"/>
          <w:sz w:val="20"/>
          <w:szCs w:val="20"/>
        </w:rPr>
        <w:t xml:space="preserve"> </w:t>
      </w:r>
      <w:r w:rsidR="00A67A30" w:rsidRPr="00F62AD6">
        <w:rPr>
          <w:rFonts w:ascii="Arial" w:hAnsi="Arial" w:cs="Arial"/>
          <w:sz w:val="20"/>
          <w:szCs w:val="20"/>
        </w:rPr>
        <w:t>The</w:t>
      </w:r>
      <w:r w:rsidR="007C530F" w:rsidRPr="00F62AD6">
        <w:rPr>
          <w:rFonts w:ascii="Arial" w:hAnsi="Arial" w:cs="Arial"/>
          <w:sz w:val="20"/>
          <w:szCs w:val="20"/>
        </w:rPr>
        <w:t xml:space="preserve"> Statistics in the accompanying CSV </w:t>
      </w:r>
      <w:r w:rsidR="00A67A30" w:rsidRPr="00F62AD6">
        <w:rPr>
          <w:rFonts w:ascii="Arial" w:hAnsi="Arial" w:cs="Arial"/>
          <w:sz w:val="20"/>
          <w:szCs w:val="20"/>
        </w:rPr>
        <w:t xml:space="preserve">provide the number of defendants prosecuted for </w:t>
      </w:r>
      <w:proofErr w:type="gramStart"/>
      <w:r w:rsidR="0074156A" w:rsidRPr="00F62AD6">
        <w:rPr>
          <w:rFonts w:ascii="Arial" w:hAnsi="Arial" w:cs="Arial"/>
          <w:sz w:val="20"/>
          <w:szCs w:val="20"/>
        </w:rPr>
        <w:t xml:space="preserve">particular </w:t>
      </w:r>
      <w:r w:rsidR="00A67A30" w:rsidRPr="00F62AD6">
        <w:rPr>
          <w:rFonts w:ascii="Arial" w:hAnsi="Arial" w:cs="Arial"/>
          <w:sz w:val="20"/>
          <w:szCs w:val="20"/>
        </w:rPr>
        <w:t>offences</w:t>
      </w:r>
      <w:proofErr w:type="gramEnd"/>
      <w:r w:rsidR="00A67A30" w:rsidRPr="00F62AD6">
        <w:rPr>
          <w:rFonts w:ascii="Arial" w:hAnsi="Arial" w:cs="Arial"/>
          <w:sz w:val="20"/>
          <w:szCs w:val="20"/>
        </w:rPr>
        <w:t xml:space="preserve"> </w:t>
      </w:r>
      <w:r w:rsidR="007C530F" w:rsidRPr="00F62AD6">
        <w:rPr>
          <w:rFonts w:ascii="Arial" w:hAnsi="Arial" w:cs="Arial"/>
          <w:sz w:val="20"/>
          <w:szCs w:val="20"/>
        </w:rPr>
        <w:t>and the number of defendants prosecuted</w:t>
      </w:r>
      <w:r w:rsidR="00C8039A" w:rsidRPr="00F62AD6">
        <w:rPr>
          <w:rFonts w:ascii="Arial" w:hAnsi="Arial" w:cs="Arial"/>
          <w:sz w:val="20"/>
          <w:szCs w:val="20"/>
        </w:rPr>
        <w:t xml:space="preserve"> </w:t>
      </w:r>
      <w:r w:rsidR="007C530F" w:rsidRPr="00F62AD6">
        <w:rPr>
          <w:rFonts w:ascii="Arial" w:hAnsi="Arial" w:cs="Arial"/>
          <w:sz w:val="20"/>
          <w:szCs w:val="20"/>
        </w:rPr>
        <w:t>for</w:t>
      </w:r>
      <w:r w:rsidR="00A6276A" w:rsidRPr="00F62AD6">
        <w:rPr>
          <w:rFonts w:ascii="Arial" w:hAnsi="Arial" w:cs="Arial"/>
          <w:sz w:val="20"/>
          <w:szCs w:val="20"/>
        </w:rPr>
        <w:t xml:space="preserve"> </w:t>
      </w:r>
      <w:r w:rsidR="00A67A30" w:rsidRPr="00F62AD6">
        <w:rPr>
          <w:rFonts w:ascii="Arial" w:hAnsi="Arial" w:cs="Arial"/>
          <w:sz w:val="20"/>
          <w:szCs w:val="20"/>
        </w:rPr>
        <w:t>each combination of two offences irrespective of whether those offences are principal or non-principal.</w:t>
      </w:r>
    </w:p>
    <w:p w14:paraId="0191959E" w14:textId="13F13058" w:rsidR="0074156A" w:rsidRPr="00F62AD6" w:rsidRDefault="00B220D1" w:rsidP="0074156A">
      <w:pPr>
        <w:rPr>
          <w:rFonts w:ascii="Arial" w:hAnsi="Arial" w:cs="Arial"/>
          <w:sz w:val="20"/>
          <w:szCs w:val="20"/>
        </w:rPr>
      </w:pPr>
      <w:r w:rsidRPr="00F62AD6">
        <w:rPr>
          <w:rFonts w:ascii="Arial" w:hAnsi="Arial" w:cs="Arial"/>
          <w:sz w:val="20"/>
          <w:szCs w:val="20"/>
        </w:rPr>
        <w:t xml:space="preserve">This CSV </w:t>
      </w:r>
      <w:r w:rsidR="0059703A" w:rsidRPr="00F62AD6">
        <w:rPr>
          <w:rFonts w:ascii="Arial" w:hAnsi="Arial" w:cs="Arial"/>
          <w:sz w:val="20"/>
          <w:szCs w:val="20"/>
        </w:rPr>
        <w:t>builds on</w:t>
      </w:r>
      <w:r w:rsidRPr="00F62AD6">
        <w:rPr>
          <w:rFonts w:ascii="Arial" w:hAnsi="Arial" w:cs="Arial"/>
          <w:sz w:val="20"/>
          <w:szCs w:val="20"/>
        </w:rPr>
        <w:t xml:space="preserve"> the experimental ‘Prosecutions for non-principal offences, by principal offence’ CSV which was published for the first time </w:t>
      </w:r>
      <w:r w:rsidR="0074156A" w:rsidRPr="00F62AD6">
        <w:rPr>
          <w:rFonts w:ascii="Arial" w:hAnsi="Arial" w:cs="Arial"/>
          <w:sz w:val="20"/>
          <w:szCs w:val="20"/>
        </w:rPr>
        <w:t xml:space="preserve">alongside </w:t>
      </w:r>
      <w:r w:rsidRPr="00F62AD6">
        <w:rPr>
          <w:rFonts w:ascii="Arial" w:hAnsi="Arial" w:cs="Arial"/>
          <w:sz w:val="20"/>
          <w:szCs w:val="20"/>
        </w:rPr>
        <w:t>the ‘Criminal Justice System statistics quarterly: December 2017’ publication</w:t>
      </w:r>
      <w:r w:rsidR="0074156A" w:rsidRPr="00F62AD6">
        <w:rPr>
          <w:rStyle w:val="FootnoteReference"/>
          <w:rFonts w:ascii="Arial" w:hAnsi="Arial" w:cs="Arial"/>
          <w:sz w:val="20"/>
          <w:szCs w:val="20"/>
        </w:rPr>
        <w:footnoteReference w:id="3"/>
      </w:r>
      <w:r w:rsidRPr="00F62AD6">
        <w:rPr>
          <w:rFonts w:ascii="Arial" w:hAnsi="Arial" w:cs="Arial"/>
          <w:sz w:val="20"/>
          <w:szCs w:val="20"/>
        </w:rPr>
        <w:t>.</w:t>
      </w:r>
      <w:r w:rsidR="0074156A" w:rsidRPr="00F62AD6">
        <w:rPr>
          <w:rFonts w:ascii="Arial" w:hAnsi="Arial" w:cs="Arial"/>
          <w:sz w:val="20"/>
          <w:szCs w:val="20"/>
        </w:rPr>
        <w:t xml:space="preserve"> This CSV shows an alternative way of presenting the data, and e</w:t>
      </w:r>
      <w:r w:rsidR="00E22335" w:rsidRPr="00F62AD6">
        <w:rPr>
          <w:rFonts w:ascii="Arial" w:hAnsi="Arial" w:cs="Arial"/>
          <w:sz w:val="20"/>
          <w:szCs w:val="20"/>
        </w:rPr>
        <w:t xml:space="preserve">xplanation of the </w:t>
      </w:r>
      <w:r w:rsidR="0074156A" w:rsidRPr="00F62AD6">
        <w:rPr>
          <w:rFonts w:ascii="Arial" w:hAnsi="Arial" w:cs="Arial"/>
          <w:sz w:val="20"/>
          <w:szCs w:val="20"/>
        </w:rPr>
        <w:t>different methodologies</w:t>
      </w:r>
      <w:r w:rsidR="00E22335" w:rsidRPr="00F62AD6">
        <w:rPr>
          <w:rFonts w:ascii="Arial" w:hAnsi="Arial" w:cs="Arial"/>
          <w:sz w:val="20"/>
          <w:szCs w:val="20"/>
        </w:rPr>
        <w:t xml:space="preserve"> is provided below.</w:t>
      </w:r>
      <w:r w:rsidR="0074156A" w:rsidRPr="00F62AD6">
        <w:rPr>
          <w:rFonts w:ascii="Arial" w:hAnsi="Arial" w:cs="Arial"/>
          <w:sz w:val="20"/>
          <w:szCs w:val="20"/>
        </w:rPr>
        <w:t xml:space="preserve"> </w:t>
      </w:r>
    </w:p>
    <w:p w14:paraId="3D750806" w14:textId="4797397E" w:rsidR="0074156A" w:rsidRPr="00F62AD6" w:rsidRDefault="00125FE5" w:rsidP="0074156A">
      <w:pPr>
        <w:rPr>
          <w:rFonts w:ascii="Arial" w:hAnsi="Arial" w:cs="Arial"/>
          <w:sz w:val="20"/>
          <w:szCs w:val="20"/>
        </w:rPr>
      </w:pPr>
      <w:r>
        <w:rPr>
          <w:rFonts w:ascii="Arial" w:hAnsi="Arial" w:cs="Arial"/>
          <w:sz w:val="20"/>
          <w:szCs w:val="20"/>
        </w:rPr>
        <w:t>Methodology has since been streamlined since 2018 to accurately identify defendants and include Common Platform. We</w:t>
      </w:r>
      <w:r w:rsidRPr="00F62AD6">
        <w:rPr>
          <w:rFonts w:ascii="Arial" w:hAnsi="Arial" w:cs="Arial"/>
          <w:sz w:val="20"/>
          <w:szCs w:val="20"/>
        </w:rPr>
        <w:t xml:space="preserve"> would particularly welcome feedback from users on </w:t>
      </w:r>
      <w:r>
        <w:rPr>
          <w:rFonts w:ascii="Arial" w:hAnsi="Arial" w:cs="Arial"/>
          <w:sz w:val="20"/>
          <w:szCs w:val="20"/>
        </w:rPr>
        <w:t>its use and future inclusion in the report.</w:t>
      </w:r>
    </w:p>
    <w:p w14:paraId="13E6A80D" w14:textId="77777777" w:rsidR="00420308" w:rsidRPr="00F62AD6" w:rsidRDefault="00420308" w:rsidP="00420308">
      <w:pPr>
        <w:rPr>
          <w:rFonts w:ascii="Arial" w:hAnsi="Arial" w:cs="Arial"/>
          <w:sz w:val="20"/>
          <w:szCs w:val="20"/>
          <w:u w:val="single"/>
        </w:rPr>
      </w:pPr>
      <w:r w:rsidRPr="00F62AD6">
        <w:rPr>
          <w:rFonts w:ascii="Arial" w:hAnsi="Arial" w:cs="Arial"/>
          <w:sz w:val="20"/>
          <w:szCs w:val="20"/>
          <w:u w:val="single"/>
        </w:rPr>
        <w:t>How to use</w:t>
      </w:r>
    </w:p>
    <w:p w14:paraId="0E92EC21" w14:textId="220E467D" w:rsidR="00A77AAF" w:rsidRPr="00F62AD6" w:rsidRDefault="00A77AAF" w:rsidP="00A77AAF">
      <w:pPr>
        <w:rPr>
          <w:rFonts w:ascii="Arial" w:hAnsi="Arial" w:cs="Arial"/>
          <w:sz w:val="20"/>
          <w:szCs w:val="20"/>
        </w:rPr>
      </w:pPr>
      <w:r w:rsidRPr="00F62AD6">
        <w:rPr>
          <w:rFonts w:ascii="Arial" w:hAnsi="Arial" w:cs="Arial"/>
          <w:sz w:val="20"/>
          <w:szCs w:val="20"/>
        </w:rPr>
        <w:t>The meanings of the columns in the</w:t>
      </w:r>
      <w:r w:rsidR="00643214">
        <w:rPr>
          <w:rFonts w:ascii="Arial" w:hAnsi="Arial" w:cs="Arial"/>
          <w:sz w:val="20"/>
          <w:szCs w:val="20"/>
        </w:rPr>
        <w:t xml:space="preserve"> Prosecutions</w:t>
      </w:r>
      <w:r w:rsidRPr="00F62AD6">
        <w:rPr>
          <w:rFonts w:ascii="Arial" w:hAnsi="Arial" w:cs="Arial"/>
          <w:color w:val="FF0000"/>
          <w:sz w:val="20"/>
          <w:szCs w:val="20"/>
        </w:rPr>
        <w:t xml:space="preserve"> </w:t>
      </w:r>
      <w:r w:rsidR="000477E6" w:rsidRPr="00F62AD6">
        <w:rPr>
          <w:rFonts w:ascii="Arial" w:hAnsi="Arial" w:cs="Arial"/>
          <w:sz w:val="20"/>
          <w:szCs w:val="20"/>
        </w:rPr>
        <w:t>CSV</w:t>
      </w:r>
      <w:r w:rsidRPr="00F62AD6">
        <w:rPr>
          <w:rFonts w:ascii="Arial" w:hAnsi="Arial" w:cs="Arial"/>
          <w:color w:val="FF0000"/>
          <w:sz w:val="20"/>
          <w:szCs w:val="20"/>
        </w:rPr>
        <w:t xml:space="preserve"> </w:t>
      </w:r>
      <w:r w:rsidRPr="00F62AD6">
        <w:rPr>
          <w:rFonts w:ascii="Arial" w:hAnsi="Arial" w:cs="Arial"/>
          <w:sz w:val="20"/>
          <w:szCs w:val="20"/>
        </w:rPr>
        <w:t>are as follows:</w:t>
      </w:r>
    </w:p>
    <w:p w14:paraId="77C628DF" w14:textId="41BBBE8D" w:rsidR="00196273" w:rsidRPr="00F62AD6" w:rsidRDefault="00196273" w:rsidP="00A77AAF">
      <w:pPr>
        <w:pStyle w:val="ListParagraph"/>
        <w:numPr>
          <w:ilvl w:val="0"/>
          <w:numId w:val="7"/>
        </w:numPr>
        <w:rPr>
          <w:rFonts w:ascii="Arial" w:hAnsi="Arial" w:cs="Arial"/>
          <w:b/>
          <w:sz w:val="20"/>
          <w:szCs w:val="20"/>
        </w:rPr>
      </w:pPr>
      <w:r w:rsidRPr="00F62AD6">
        <w:rPr>
          <w:rFonts w:ascii="Arial" w:hAnsi="Arial" w:cs="Arial"/>
          <w:b/>
          <w:sz w:val="20"/>
          <w:szCs w:val="20"/>
        </w:rPr>
        <w:t xml:space="preserve">year – </w:t>
      </w:r>
      <w:r w:rsidR="00C8039A" w:rsidRPr="00F62AD6">
        <w:rPr>
          <w:rFonts w:ascii="Arial" w:hAnsi="Arial" w:cs="Arial"/>
          <w:sz w:val="20"/>
          <w:szCs w:val="20"/>
        </w:rPr>
        <w:t>year of appearance.</w:t>
      </w:r>
    </w:p>
    <w:p w14:paraId="0B918FEF" w14:textId="1F14E31B" w:rsidR="00A77AAF" w:rsidRPr="00F62AD6" w:rsidRDefault="00196273" w:rsidP="001B41C0">
      <w:pPr>
        <w:pStyle w:val="ListParagraph"/>
        <w:numPr>
          <w:ilvl w:val="0"/>
          <w:numId w:val="7"/>
        </w:numPr>
        <w:rPr>
          <w:rFonts w:ascii="Arial" w:hAnsi="Arial" w:cs="Arial"/>
          <w:sz w:val="20"/>
          <w:szCs w:val="20"/>
        </w:rPr>
      </w:pPr>
      <w:bookmarkStart w:id="1" w:name="_Hlk8308262"/>
      <w:proofErr w:type="spellStart"/>
      <w:r w:rsidRPr="00F62AD6">
        <w:rPr>
          <w:rFonts w:ascii="Arial" w:hAnsi="Arial" w:cs="Arial"/>
          <w:b/>
          <w:sz w:val="20"/>
          <w:szCs w:val="20"/>
        </w:rPr>
        <w:t>offence_x</w:t>
      </w:r>
      <w:proofErr w:type="spellEnd"/>
      <w:r w:rsidRPr="00F62AD6">
        <w:rPr>
          <w:rFonts w:ascii="Arial" w:hAnsi="Arial" w:cs="Arial"/>
          <w:b/>
          <w:sz w:val="20"/>
          <w:szCs w:val="20"/>
        </w:rPr>
        <w:t xml:space="preserve"> </w:t>
      </w:r>
      <w:bookmarkEnd w:id="1"/>
      <w:r w:rsidRPr="00F62AD6">
        <w:rPr>
          <w:rFonts w:ascii="Arial" w:hAnsi="Arial" w:cs="Arial"/>
          <w:sz w:val="20"/>
          <w:szCs w:val="20"/>
        </w:rPr>
        <w:t xml:space="preserve">&amp; </w:t>
      </w:r>
      <w:proofErr w:type="spellStart"/>
      <w:r w:rsidR="00823FAF" w:rsidRPr="00F62AD6">
        <w:rPr>
          <w:rFonts w:ascii="Arial" w:hAnsi="Arial" w:cs="Arial"/>
          <w:b/>
          <w:sz w:val="20"/>
          <w:szCs w:val="20"/>
        </w:rPr>
        <w:t>offence</w:t>
      </w:r>
      <w:r w:rsidRPr="00F62AD6">
        <w:rPr>
          <w:rFonts w:ascii="Arial" w:hAnsi="Arial" w:cs="Arial"/>
          <w:b/>
          <w:sz w:val="20"/>
          <w:szCs w:val="20"/>
        </w:rPr>
        <w:t>_y</w:t>
      </w:r>
      <w:proofErr w:type="spellEnd"/>
      <w:r w:rsidRPr="00F62AD6">
        <w:rPr>
          <w:rFonts w:ascii="Arial" w:hAnsi="Arial" w:cs="Arial"/>
          <w:sz w:val="20"/>
          <w:szCs w:val="20"/>
        </w:rPr>
        <w:t xml:space="preserve"> – </w:t>
      </w:r>
      <w:r w:rsidR="00823FAF" w:rsidRPr="00F62AD6">
        <w:rPr>
          <w:rFonts w:ascii="Arial" w:hAnsi="Arial" w:cs="Arial"/>
          <w:sz w:val="20"/>
          <w:szCs w:val="20"/>
        </w:rPr>
        <w:t>offence</w:t>
      </w:r>
      <w:r w:rsidR="00342991" w:rsidRPr="00F62AD6">
        <w:rPr>
          <w:rFonts w:ascii="Arial" w:hAnsi="Arial" w:cs="Arial"/>
          <w:sz w:val="20"/>
          <w:szCs w:val="20"/>
        </w:rPr>
        <w:t>s</w:t>
      </w:r>
      <w:r w:rsidR="001B41C0" w:rsidRPr="00F62AD6">
        <w:rPr>
          <w:rFonts w:ascii="Arial" w:hAnsi="Arial" w:cs="Arial"/>
          <w:sz w:val="20"/>
          <w:szCs w:val="20"/>
        </w:rPr>
        <w:t>, shown at the offence level</w:t>
      </w:r>
      <w:r w:rsidR="00C8039A" w:rsidRPr="00F62AD6">
        <w:rPr>
          <w:rFonts w:ascii="Arial" w:hAnsi="Arial" w:cs="Arial"/>
          <w:sz w:val="20"/>
          <w:szCs w:val="20"/>
        </w:rPr>
        <w:t>.</w:t>
      </w:r>
    </w:p>
    <w:p w14:paraId="6BF090B9" w14:textId="060376B2" w:rsidR="00823FAF" w:rsidRPr="00F62AD6" w:rsidRDefault="00823FAF" w:rsidP="00196273">
      <w:pPr>
        <w:pStyle w:val="ListParagraph"/>
        <w:numPr>
          <w:ilvl w:val="0"/>
          <w:numId w:val="7"/>
        </w:numPr>
        <w:rPr>
          <w:rFonts w:ascii="Arial" w:hAnsi="Arial" w:cs="Arial"/>
          <w:sz w:val="20"/>
          <w:szCs w:val="20"/>
        </w:rPr>
      </w:pPr>
      <w:proofErr w:type="spellStart"/>
      <w:r w:rsidRPr="00F62AD6">
        <w:rPr>
          <w:rFonts w:ascii="Arial" w:hAnsi="Arial" w:cs="Arial"/>
          <w:b/>
          <w:sz w:val="20"/>
          <w:szCs w:val="20"/>
        </w:rPr>
        <w:t>n_defendants_offence_x</w:t>
      </w:r>
      <w:proofErr w:type="spellEnd"/>
      <w:r w:rsidRPr="00F62AD6">
        <w:rPr>
          <w:rFonts w:ascii="Arial" w:hAnsi="Arial" w:cs="Arial"/>
          <w:sz w:val="20"/>
          <w:szCs w:val="20"/>
        </w:rPr>
        <w:t xml:space="preserve"> – the </w:t>
      </w:r>
      <w:r w:rsidR="000845A6" w:rsidRPr="00F62AD6">
        <w:rPr>
          <w:rFonts w:ascii="Arial" w:hAnsi="Arial" w:cs="Arial"/>
          <w:sz w:val="20"/>
          <w:szCs w:val="20"/>
        </w:rPr>
        <w:t xml:space="preserve">total </w:t>
      </w:r>
      <w:r w:rsidRPr="00F62AD6">
        <w:rPr>
          <w:rFonts w:ascii="Arial" w:hAnsi="Arial" w:cs="Arial"/>
          <w:sz w:val="20"/>
          <w:szCs w:val="20"/>
        </w:rPr>
        <w:t xml:space="preserve">number of defendants prosecuted for </w:t>
      </w:r>
      <w:proofErr w:type="spellStart"/>
      <w:r w:rsidRPr="00F62AD6">
        <w:rPr>
          <w:rFonts w:ascii="Arial" w:hAnsi="Arial" w:cs="Arial"/>
          <w:sz w:val="20"/>
          <w:szCs w:val="20"/>
        </w:rPr>
        <w:t>offence_x</w:t>
      </w:r>
      <w:proofErr w:type="spellEnd"/>
      <w:r w:rsidR="000845A6" w:rsidRPr="00F62AD6">
        <w:rPr>
          <w:rFonts w:ascii="Arial" w:hAnsi="Arial" w:cs="Arial"/>
          <w:sz w:val="20"/>
          <w:szCs w:val="20"/>
        </w:rPr>
        <w:t xml:space="preserve">. Includes defendants prosecuted for one or more counts of </w:t>
      </w:r>
      <w:proofErr w:type="spellStart"/>
      <w:r w:rsidR="000845A6" w:rsidRPr="00F62AD6">
        <w:rPr>
          <w:rFonts w:ascii="Arial" w:hAnsi="Arial" w:cs="Arial"/>
          <w:sz w:val="20"/>
          <w:szCs w:val="20"/>
        </w:rPr>
        <w:t>offence</w:t>
      </w:r>
      <w:r w:rsidR="00932F87" w:rsidRPr="00F62AD6">
        <w:rPr>
          <w:rFonts w:ascii="Arial" w:hAnsi="Arial" w:cs="Arial"/>
          <w:sz w:val="20"/>
          <w:szCs w:val="20"/>
        </w:rPr>
        <w:t>_x</w:t>
      </w:r>
      <w:proofErr w:type="spellEnd"/>
      <w:r w:rsidR="000845A6" w:rsidRPr="00F62AD6">
        <w:rPr>
          <w:rFonts w:ascii="Arial" w:hAnsi="Arial" w:cs="Arial"/>
          <w:sz w:val="20"/>
          <w:szCs w:val="20"/>
        </w:rPr>
        <w:t>,</w:t>
      </w:r>
      <w:r w:rsidR="00932F87" w:rsidRPr="00F62AD6">
        <w:rPr>
          <w:rFonts w:ascii="Arial" w:hAnsi="Arial" w:cs="Arial"/>
          <w:sz w:val="20"/>
          <w:szCs w:val="20"/>
        </w:rPr>
        <w:t xml:space="preserve"> and defendants prosecuted for </w:t>
      </w:r>
      <w:proofErr w:type="spellStart"/>
      <w:r w:rsidR="00932F87" w:rsidRPr="00F62AD6">
        <w:rPr>
          <w:rFonts w:ascii="Arial" w:hAnsi="Arial" w:cs="Arial"/>
          <w:sz w:val="20"/>
          <w:szCs w:val="20"/>
        </w:rPr>
        <w:t>offence_x</w:t>
      </w:r>
      <w:proofErr w:type="spellEnd"/>
      <w:r w:rsidR="00342991" w:rsidRPr="00F62AD6">
        <w:rPr>
          <w:rFonts w:ascii="Arial" w:hAnsi="Arial" w:cs="Arial"/>
          <w:sz w:val="20"/>
          <w:szCs w:val="20"/>
        </w:rPr>
        <w:t xml:space="preserve"> alongside other offence</w:t>
      </w:r>
      <w:r w:rsidR="00C8039A" w:rsidRPr="00F62AD6">
        <w:rPr>
          <w:rFonts w:ascii="Arial" w:hAnsi="Arial" w:cs="Arial"/>
          <w:sz w:val="20"/>
          <w:szCs w:val="20"/>
        </w:rPr>
        <w:t>.</w:t>
      </w:r>
    </w:p>
    <w:p w14:paraId="0B331725" w14:textId="18B2FE62" w:rsidR="001569E3" w:rsidRDefault="00196273" w:rsidP="00196273">
      <w:pPr>
        <w:pStyle w:val="ListParagraph"/>
        <w:numPr>
          <w:ilvl w:val="0"/>
          <w:numId w:val="7"/>
        </w:numPr>
        <w:rPr>
          <w:rFonts w:ascii="Arial" w:hAnsi="Arial" w:cs="Arial"/>
          <w:sz w:val="20"/>
          <w:szCs w:val="20"/>
        </w:rPr>
      </w:pPr>
      <w:proofErr w:type="spellStart"/>
      <w:r w:rsidRPr="00F62AD6">
        <w:rPr>
          <w:rFonts w:ascii="Arial" w:hAnsi="Arial" w:cs="Arial"/>
          <w:b/>
          <w:sz w:val="20"/>
          <w:szCs w:val="20"/>
        </w:rPr>
        <w:t>n_defendants_offences_x_and_y</w:t>
      </w:r>
      <w:proofErr w:type="spellEnd"/>
      <w:r w:rsidRPr="00F62AD6">
        <w:rPr>
          <w:rFonts w:ascii="Arial" w:hAnsi="Arial" w:cs="Arial"/>
          <w:b/>
          <w:sz w:val="20"/>
          <w:szCs w:val="20"/>
        </w:rPr>
        <w:t xml:space="preserve"> </w:t>
      </w:r>
      <w:r w:rsidR="00A77AAF" w:rsidRPr="00F62AD6">
        <w:rPr>
          <w:rFonts w:ascii="Arial" w:hAnsi="Arial" w:cs="Arial"/>
          <w:sz w:val="20"/>
          <w:szCs w:val="20"/>
        </w:rPr>
        <w:t xml:space="preserve">– the number of </w:t>
      </w:r>
      <w:r w:rsidRPr="00F62AD6">
        <w:rPr>
          <w:rFonts w:ascii="Arial" w:hAnsi="Arial" w:cs="Arial"/>
          <w:sz w:val="20"/>
          <w:szCs w:val="20"/>
        </w:rPr>
        <w:t>defenda</w:t>
      </w:r>
      <w:r w:rsidR="00823FAF" w:rsidRPr="00F62AD6">
        <w:rPr>
          <w:rFonts w:ascii="Arial" w:hAnsi="Arial" w:cs="Arial"/>
          <w:sz w:val="20"/>
          <w:szCs w:val="20"/>
        </w:rPr>
        <w:t xml:space="preserve">nts prosecuted for both offence </w:t>
      </w:r>
      <w:r w:rsidRPr="00F62AD6">
        <w:rPr>
          <w:rFonts w:ascii="Arial" w:hAnsi="Arial" w:cs="Arial"/>
          <w:sz w:val="20"/>
          <w:szCs w:val="20"/>
        </w:rPr>
        <w:t>_x and offence_</w:t>
      </w:r>
      <w:r w:rsidR="00823FAF" w:rsidRPr="00F62AD6">
        <w:rPr>
          <w:rFonts w:ascii="Arial" w:hAnsi="Arial" w:cs="Arial"/>
          <w:sz w:val="20"/>
          <w:szCs w:val="20"/>
        </w:rPr>
        <w:t xml:space="preserve"> </w:t>
      </w:r>
      <w:r w:rsidRPr="00F62AD6">
        <w:rPr>
          <w:rFonts w:ascii="Arial" w:hAnsi="Arial" w:cs="Arial"/>
          <w:sz w:val="20"/>
          <w:szCs w:val="20"/>
        </w:rPr>
        <w:t>y.</w:t>
      </w:r>
      <w:r w:rsidR="000845A6" w:rsidRPr="00F62AD6">
        <w:rPr>
          <w:rFonts w:ascii="Arial" w:hAnsi="Arial" w:cs="Arial"/>
          <w:sz w:val="20"/>
          <w:szCs w:val="20"/>
        </w:rPr>
        <w:t xml:space="preserve"> Includes defendants prosecuted for </w:t>
      </w:r>
      <w:r w:rsidR="00CC5814" w:rsidRPr="00F62AD6">
        <w:rPr>
          <w:rFonts w:ascii="Arial" w:hAnsi="Arial" w:cs="Arial"/>
          <w:sz w:val="20"/>
          <w:szCs w:val="20"/>
        </w:rPr>
        <w:t xml:space="preserve">these offences </w:t>
      </w:r>
      <w:r w:rsidR="000845A6" w:rsidRPr="00F62AD6">
        <w:rPr>
          <w:rFonts w:ascii="Arial" w:hAnsi="Arial" w:cs="Arial"/>
          <w:sz w:val="20"/>
          <w:szCs w:val="20"/>
        </w:rPr>
        <w:t xml:space="preserve">alongside </w:t>
      </w:r>
      <w:r w:rsidR="009F1D84" w:rsidRPr="00F62AD6">
        <w:rPr>
          <w:rFonts w:ascii="Arial" w:hAnsi="Arial" w:cs="Arial"/>
          <w:sz w:val="20"/>
          <w:szCs w:val="20"/>
        </w:rPr>
        <w:t>additional</w:t>
      </w:r>
      <w:r w:rsidR="00CC5814" w:rsidRPr="00F62AD6">
        <w:rPr>
          <w:rFonts w:ascii="Arial" w:hAnsi="Arial" w:cs="Arial"/>
          <w:sz w:val="20"/>
          <w:szCs w:val="20"/>
        </w:rPr>
        <w:t xml:space="preserve"> offences</w:t>
      </w:r>
      <w:r w:rsidR="00C8039A" w:rsidRPr="00F62AD6">
        <w:rPr>
          <w:rFonts w:ascii="Arial" w:hAnsi="Arial" w:cs="Arial"/>
          <w:sz w:val="20"/>
          <w:szCs w:val="20"/>
        </w:rPr>
        <w:t>.</w:t>
      </w:r>
    </w:p>
    <w:p w14:paraId="10BC24F3" w14:textId="72331018" w:rsidR="00007D59" w:rsidRPr="00F62AD6" w:rsidRDefault="009D1DBD" w:rsidP="00A324EB">
      <w:pPr>
        <w:rPr>
          <w:rFonts w:ascii="Arial" w:hAnsi="Arial" w:cs="Arial"/>
          <w:sz w:val="20"/>
          <w:szCs w:val="20"/>
        </w:rPr>
      </w:pPr>
      <w:r w:rsidRPr="00F62AD6">
        <w:rPr>
          <w:rFonts w:ascii="Arial" w:hAnsi="Arial" w:cs="Arial"/>
          <w:sz w:val="20"/>
          <w:szCs w:val="20"/>
        </w:rPr>
        <w:t>To find the total number of defendants prosecuted for a particular offence, refer to columns “</w:t>
      </w:r>
      <w:proofErr w:type="spellStart"/>
      <w:r w:rsidRPr="00F62AD6">
        <w:rPr>
          <w:rFonts w:ascii="Arial" w:hAnsi="Arial" w:cs="Arial"/>
          <w:sz w:val="20"/>
          <w:szCs w:val="20"/>
        </w:rPr>
        <w:t>offence_x</w:t>
      </w:r>
      <w:proofErr w:type="spellEnd"/>
      <w:r w:rsidRPr="00F62AD6">
        <w:rPr>
          <w:rFonts w:ascii="Arial" w:hAnsi="Arial" w:cs="Arial"/>
          <w:sz w:val="20"/>
          <w:szCs w:val="20"/>
        </w:rPr>
        <w:t>” and “</w:t>
      </w:r>
      <w:proofErr w:type="spellStart"/>
      <w:r w:rsidRPr="00F62AD6">
        <w:rPr>
          <w:rFonts w:ascii="Arial" w:hAnsi="Arial" w:cs="Arial"/>
          <w:sz w:val="20"/>
          <w:szCs w:val="20"/>
        </w:rPr>
        <w:t>n_defendants_offence_x</w:t>
      </w:r>
      <w:proofErr w:type="spellEnd"/>
      <w:r w:rsidRPr="00F62AD6">
        <w:rPr>
          <w:rFonts w:ascii="Arial" w:hAnsi="Arial" w:cs="Arial"/>
          <w:sz w:val="20"/>
          <w:szCs w:val="20"/>
        </w:rPr>
        <w:t xml:space="preserve">”. </w:t>
      </w:r>
      <w:r w:rsidR="009F1D84" w:rsidRPr="00F62AD6">
        <w:rPr>
          <w:rFonts w:ascii="Arial" w:hAnsi="Arial" w:cs="Arial"/>
          <w:sz w:val="20"/>
          <w:szCs w:val="20"/>
        </w:rPr>
        <w:t>This will i</w:t>
      </w:r>
      <w:r w:rsidRPr="00F62AD6">
        <w:rPr>
          <w:rFonts w:ascii="Arial" w:hAnsi="Arial" w:cs="Arial"/>
          <w:sz w:val="20"/>
          <w:szCs w:val="20"/>
        </w:rPr>
        <w:t xml:space="preserve">nclude defendants for whom </w:t>
      </w:r>
      <w:proofErr w:type="spellStart"/>
      <w:r w:rsidRPr="00F62AD6">
        <w:rPr>
          <w:rFonts w:ascii="Arial" w:hAnsi="Arial" w:cs="Arial"/>
          <w:sz w:val="20"/>
          <w:szCs w:val="20"/>
        </w:rPr>
        <w:t>offence_x</w:t>
      </w:r>
      <w:proofErr w:type="spellEnd"/>
      <w:r w:rsidRPr="00F62AD6">
        <w:rPr>
          <w:rFonts w:ascii="Arial" w:hAnsi="Arial" w:cs="Arial"/>
          <w:sz w:val="20"/>
          <w:szCs w:val="20"/>
        </w:rPr>
        <w:t xml:space="preserve"> was the principal offence for which they were dealt with and defendants for whom </w:t>
      </w:r>
      <w:proofErr w:type="spellStart"/>
      <w:r w:rsidRPr="00F62AD6">
        <w:rPr>
          <w:rFonts w:ascii="Arial" w:hAnsi="Arial" w:cs="Arial"/>
          <w:sz w:val="20"/>
          <w:szCs w:val="20"/>
        </w:rPr>
        <w:t>offence_x</w:t>
      </w:r>
      <w:proofErr w:type="spellEnd"/>
      <w:r w:rsidRPr="00F62AD6">
        <w:rPr>
          <w:rFonts w:ascii="Arial" w:hAnsi="Arial" w:cs="Arial"/>
          <w:sz w:val="20"/>
          <w:szCs w:val="20"/>
        </w:rPr>
        <w:t xml:space="preserve"> was their non-principal offence.</w:t>
      </w:r>
      <w:r w:rsidR="00C00B36" w:rsidRPr="00F62AD6">
        <w:rPr>
          <w:rFonts w:ascii="Arial" w:hAnsi="Arial" w:cs="Arial"/>
          <w:sz w:val="20"/>
          <w:szCs w:val="20"/>
        </w:rPr>
        <w:t xml:space="preserve"> </w:t>
      </w:r>
      <w:r w:rsidR="006A28E8" w:rsidRPr="00F62AD6">
        <w:rPr>
          <w:rFonts w:ascii="Arial" w:hAnsi="Arial" w:cs="Arial"/>
          <w:sz w:val="20"/>
          <w:szCs w:val="20"/>
        </w:rPr>
        <w:t xml:space="preserve">To find which offences defendants </w:t>
      </w:r>
      <w:r w:rsidRPr="00F62AD6">
        <w:rPr>
          <w:rFonts w:ascii="Arial" w:hAnsi="Arial" w:cs="Arial"/>
          <w:sz w:val="20"/>
          <w:szCs w:val="20"/>
        </w:rPr>
        <w:t>were</w:t>
      </w:r>
      <w:r w:rsidR="006A28E8" w:rsidRPr="00F62AD6">
        <w:rPr>
          <w:rFonts w:ascii="Arial" w:hAnsi="Arial" w:cs="Arial"/>
          <w:sz w:val="20"/>
          <w:szCs w:val="20"/>
        </w:rPr>
        <w:t xml:space="preserve"> prosecuted for alongside a particular </w:t>
      </w:r>
      <w:r w:rsidR="009F1D84" w:rsidRPr="00F62AD6">
        <w:rPr>
          <w:rFonts w:ascii="Arial" w:hAnsi="Arial" w:cs="Arial"/>
          <w:sz w:val="20"/>
          <w:szCs w:val="20"/>
        </w:rPr>
        <w:t>“</w:t>
      </w:r>
      <w:proofErr w:type="spellStart"/>
      <w:r w:rsidR="009F1D84" w:rsidRPr="00F62AD6">
        <w:rPr>
          <w:rFonts w:ascii="Arial" w:hAnsi="Arial" w:cs="Arial"/>
          <w:sz w:val="20"/>
          <w:szCs w:val="20"/>
        </w:rPr>
        <w:t>offence_x</w:t>
      </w:r>
      <w:proofErr w:type="spellEnd"/>
      <w:r w:rsidR="009F1D84" w:rsidRPr="00F62AD6">
        <w:rPr>
          <w:rFonts w:ascii="Arial" w:hAnsi="Arial" w:cs="Arial"/>
          <w:sz w:val="20"/>
          <w:szCs w:val="20"/>
        </w:rPr>
        <w:t>”</w:t>
      </w:r>
      <w:r w:rsidR="006A28E8" w:rsidRPr="00F62AD6">
        <w:rPr>
          <w:rFonts w:ascii="Arial" w:hAnsi="Arial" w:cs="Arial"/>
          <w:sz w:val="20"/>
          <w:szCs w:val="20"/>
        </w:rPr>
        <w:t xml:space="preserve">, </w:t>
      </w:r>
      <w:r w:rsidR="00CF44C2" w:rsidRPr="00F62AD6">
        <w:rPr>
          <w:rFonts w:ascii="Arial" w:hAnsi="Arial" w:cs="Arial"/>
          <w:sz w:val="20"/>
          <w:szCs w:val="20"/>
        </w:rPr>
        <w:t>filter on the offence of interest and refer to columns “</w:t>
      </w:r>
      <w:proofErr w:type="spellStart"/>
      <w:r w:rsidR="00CF44C2" w:rsidRPr="00F62AD6">
        <w:rPr>
          <w:rFonts w:ascii="Arial" w:hAnsi="Arial" w:cs="Arial"/>
          <w:sz w:val="20"/>
          <w:szCs w:val="20"/>
        </w:rPr>
        <w:t>offence_y</w:t>
      </w:r>
      <w:proofErr w:type="spellEnd"/>
      <w:r w:rsidR="00CF44C2" w:rsidRPr="00F62AD6">
        <w:rPr>
          <w:rFonts w:ascii="Arial" w:hAnsi="Arial" w:cs="Arial"/>
          <w:sz w:val="20"/>
          <w:szCs w:val="20"/>
        </w:rPr>
        <w:t>” and “</w:t>
      </w:r>
      <w:proofErr w:type="spellStart"/>
      <w:r w:rsidR="00CF44C2" w:rsidRPr="00F62AD6">
        <w:rPr>
          <w:rFonts w:ascii="Arial" w:hAnsi="Arial" w:cs="Arial"/>
          <w:sz w:val="20"/>
          <w:szCs w:val="20"/>
        </w:rPr>
        <w:t>n_defendants_offences_x_and_y</w:t>
      </w:r>
      <w:proofErr w:type="spellEnd"/>
      <w:r w:rsidR="00CF44C2" w:rsidRPr="00F62AD6">
        <w:rPr>
          <w:rFonts w:ascii="Arial" w:hAnsi="Arial" w:cs="Arial"/>
          <w:sz w:val="20"/>
          <w:szCs w:val="20"/>
        </w:rPr>
        <w:t>”</w:t>
      </w:r>
      <w:r w:rsidR="006A28E8" w:rsidRPr="00F62AD6">
        <w:rPr>
          <w:rFonts w:ascii="Arial" w:hAnsi="Arial" w:cs="Arial"/>
          <w:sz w:val="20"/>
          <w:szCs w:val="20"/>
        </w:rPr>
        <w:t xml:space="preserve">. </w:t>
      </w:r>
    </w:p>
    <w:p w14:paraId="2783CD5A" w14:textId="4F27B103" w:rsidR="006A28E8" w:rsidRPr="00F62AD6" w:rsidRDefault="00CF44C2" w:rsidP="00A324EB">
      <w:pPr>
        <w:rPr>
          <w:rFonts w:ascii="Arial" w:hAnsi="Arial" w:cs="Arial"/>
          <w:sz w:val="20"/>
          <w:szCs w:val="20"/>
        </w:rPr>
      </w:pPr>
      <w:r w:rsidRPr="00F62AD6">
        <w:rPr>
          <w:rFonts w:ascii="Arial" w:hAnsi="Arial" w:cs="Arial"/>
          <w:sz w:val="20"/>
          <w:szCs w:val="20"/>
        </w:rPr>
        <w:t>As an</w:t>
      </w:r>
      <w:r w:rsidR="006A28E8" w:rsidRPr="00F62AD6">
        <w:rPr>
          <w:rFonts w:ascii="Arial" w:hAnsi="Arial" w:cs="Arial"/>
          <w:sz w:val="20"/>
          <w:szCs w:val="20"/>
        </w:rPr>
        <w:t xml:space="preserve"> example, to find which offences </w:t>
      </w:r>
      <w:r w:rsidR="009D1DBD" w:rsidRPr="00F62AD6">
        <w:rPr>
          <w:rFonts w:ascii="Arial" w:hAnsi="Arial" w:cs="Arial"/>
          <w:sz w:val="20"/>
          <w:szCs w:val="20"/>
        </w:rPr>
        <w:t>defendants we</w:t>
      </w:r>
      <w:r w:rsidR="006A28E8" w:rsidRPr="00F62AD6">
        <w:rPr>
          <w:rFonts w:ascii="Arial" w:hAnsi="Arial" w:cs="Arial"/>
          <w:sz w:val="20"/>
          <w:szCs w:val="20"/>
        </w:rPr>
        <w:t xml:space="preserve">re prosecuted </w:t>
      </w:r>
      <w:r w:rsidR="009D1DBD" w:rsidRPr="00F62AD6">
        <w:rPr>
          <w:rFonts w:ascii="Arial" w:hAnsi="Arial" w:cs="Arial"/>
          <w:sz w:val="20"/>
          <w:szCs w:val="20"/>
        </w:rPr>
        <w:t xml:space="preserve">for </w:t>
      </w:r>
      <w:r w:rsidR="006A28E8" w:rsidRPr="00F62AD6">
        <w:rPr>
          <w:rFonts w:ascii="Arial" w:hAnsi="Arial" w:cs="Arial"/>
          <w:sz w:val="20"/>
          <w:szCs w:val="20"/>
        </w:rPr>
        <w:t xml:space="preserve">alongside </w:t>
      </w:r>
      <w:r w:rsidR="006A28E8" w:rsidRPr="00F62AD6">
        <w:rPr>
          <w:rFonts w:ascii="Arial" w:hAnsi="Arial" w:cs="Arial"/>
          <w:i/>
          <w:sz w:val="20"/>
          <w:szCs w:val="20"/>
        </w:rPr>
        <w:t>‘8.21 Engage in controlling / coercive behaviour in an intimate / family relationship’</w:t>
      </w:r>
      <w:r w:rsidRPr="00F62AD6">
        <w:rPr>
          <w:rFonts w:ascii="Arial" w:hAnsi="Arial" w:cs="Arial"/>
          <w:i/>
          <w:sz w:val="20"/>
          <w:szCs w:val="20"/>
        </w:rPr>
        <w:t>,</w:t>
      </w:r>
      <w:r w:rsidR="006A28E8" w:rsidRPr="00F62AD6">
        <w:rPr>
          <w:rFonts w:ascii="Arial" w:hAnsi="Arial" w:cs="Arial"/>
          <w:i/>
          <w:sz w:val="20"/>
          <w:szCs w:val="20"/>
        </w:rPr>
        <w:t xml:space="preserve"> </w:t>
      </w:r>
      <w:r w:rsidR="006A28E8" w:rsidRPr="00F62AD6">
        <w:rPr>
          <w:rFonts w:ascii="Arial" w:hAnsi="Arial" w:cs="Arial"/>
          <w:sz w:val="20"/>
          <w:szCs w:val="20"/>
        </w:rPr>
        <w:t xml:space="preserve">filter to offence_ x = </w:t>
      </w:r>
      <w:r w:rsidR="006A28E8" w:rsidRPr="00F62AD6">
        <w:rPr>
          <w:rFonts w:ascii="Arial" w:hAnsi="Arial" w:cs="Arial"/>
          <w:i/>
          <w:sz w:val="20"/>
          <w:szCs w:val="20"/>
        </w:rPr>
        <w:t>‘8.21 Engage in controlling / coercive behaviour in an intimate / family relationship’</w:t>
      </w:r>
      <w:r w:rsidR="009D1DBD" w:rsidRPr="00F62AD6">
        <w:rPr>
          <w:rFonts w:ascii="Arial" w:hAnsi="Arial" w:cs="Arial"/>
          <w:sz w:val="20"/>
          <w:szCs w:val="20"/>
        </w:rPr>
        <w:t xml:space="preserve"> and refer to “</w:t>
      </w:r>
      <w:proofErr w:type="spellStart"/>
      <w:r w:rsidR="009D1DBD" w:rsidRPr="00F62AD6">
        <w:rPr>
          <w:rFonts w:ascii="Arial" w:hAnsi="Arial" w:cs="Arial"/>
          <w:sz w:val="20"/>
          <w:szCs w:val="20"/>
        </w:rPr>
        <w:t>offence_y</w:t>
      </w:r>
      <w:proofErr w:type="spellEnd"/>
      <w:r w:rsidR="009D1DBD" w:rsidRPr="00F62AD6">
        <w:rPr>
          <w:rFonts w:ascii="Arial" w:hAnsi="Arial" w:cs="Arial"/>
          <w:sz w:val="20"/>
          <w:szCs w:val="20"/>
        </w:rPr>
        <w:t>” and “</w:t>
      </w:r>
      <w:proofErr w:type="spellStart"/>
      <w:r w:rsidR="009D1DBD" w:rsidRPr="00F62AD6">
        <w:rPr>
          <w:rFonts w:ascii="Arial" w:hAnsi="Arial" w:cs="Arial"/>
          <w:sz w:val="20"/>
          <w:szCs w:val="20"/>
        </w:rPr>
        <w:t>n_defendants_offences_x_and_y</w:t>
      </w:r>
      <w:proofErr w:type="spellEnd"/>
      <w:r w:rsidR="009D1DBD" w:rsidRPr="00F62AD6">
        <w:rPr>
          <w:rFonts w:ascii="Arial" w:hAnsi="Arial" w:cs="Arial"/>
          <w:sz w:val="20"/>
          <w:szCs w:val="20"/>
        </w:rPr>
        <w:t>” columns</w:t>
      </w:r>
      <w:r w:rsidR="006A28E8" w:rsidRPr="00F62AD6">
        <w:rPr>
          <w:rFonts w:ascii="Arial" w:hAnsi="Arial" w:cs="Arial"/>
          <w:sz w:val="20"/>
          <w:szCs w:val="20"/>
        </w:rPr>
        <w:t>.</w:t>
      </w:r>
      <w:r w:rsidRPr="00F62AD6">
        <w:rPr>
          <w:rFonts w:ascii="Arial" w:hAnsi="Arial" w:cs="Arial"/>
          <w:sz w:val="20"/>
          <w:szCs w:val="20"/>
        </w:rPr>
        <w:t xml:space="preserve"> Table 1 shows an extract from the 2018 ‘Defendants prosecuted for combinations of offences’ dataset.</w:t>
      </w:r>
    </w:p>
    <w:p w14:paraId="44644B62" w14:textId="77777777" w:rsidR="00F15E65" w:rsidRDefault="00F15E65">
      <w:pPr>
        <w:rPr>
          <w:rFonts w:ascii="Arial" w:hAnsi="Arial" w:cs="Arial"/>
          <w:b/>
          <w:sz w:val="20"/>
          <w:szCs w:val="20"/>
        </w:rPr>
      </w:pPr>
      <w:r>
        <w:rPr>
          <w:rFonts w:ascii="Arial" w:hAnsi="Arial" w:cs="Arial"/>
          <w:b/>
          <w:sz w:val="20"/>
          <w:szCs w:val="20"/>
        </w:rPr>
        <w:br w:type="page"/>
      </w:r>
    </w:p>
    <w:p w14:paraId="5B79552F" w14:textId="5032B55B" w:rsidR="001569E3" w:rsidRPr="00F62AD6" w:rsidRDefault="00431C7D" w:rsidP="001569E3">
      <w:pPr>
        <w:rPr>
          <w:rFonts w:ascii="Arial" w:hAnsi="Arial" w:cs="Arial"/>
          <w:sz w:val="20"/>
          <w:szCs w:val="20"/>
        </w:rPr>
      </w:pPr>
      <w:r w:rsidRPr="00F62AD6">
        <w:rPr>
          <w:rFonts w:ascii="Arial" w:hAnsi="Arial" w:cs="Arial"/>
          <w:b/>
          <w:sz w:val="20"/>
          <w:szCs w:val="20"/>
        </w:rPr>
        <w:lastRenderedPageBreak/>
        <w:t xml:space="preserve">Table 1: </w:t>
      </w:r>
      <w:r w:rsidR="00007D59" w:rsidRPr="00F62AD6">
        <w:rPr>
          <w:rFonts w:ascii="Arial" w:hAnsi="Arial" w:cs="Arial"/>
          <w:b/>
          <w:sz w:val="20"/>
          <w:szCs w:val="20"/>
        </w:rPr>
        <w:t xml:space="preserve">Extract from the 2018 ‘defendants prosecuted for combinations of offences’ </w:t>
      </w:r>
      <w:proofErr w:type="gramStart"/>
      <w:r w:rsidR="00007D59" w:rsidRPr="00F62AD6">
        <w:rPr>
          <w:rFonts w:ascii="Arial" w:hAnsi="Arial" w:cs="Arial"/>
          <w:b/>
          <w:sz w:val="20"/>
          <w:szCs w:val="20"/>
        </w:rPr>
        <w:t>CSV</w:t>
      </w:r>
      <w:proofErr w:type="gramEnd"/>
      <w:r w:rsidR="00007D59" w:rsidRPr="00F62AD6" w:rsidDel="00007D59">
        <w:rPr>
          <w:rFonts w:ascii="Arial" w:hAnsi="Arial" w:cs="Arial"/>
          <w:b/>
          <w:sz w:val="20"/>
          <w:szCs w:val="20"/>
        </w:rPr>
        <w:t xml:space="preserve"> </w:t>
      </w:r>
    </w:p>
    <w:tbl>
      <w:tblPr>
        <w:tblStyle w:val="TableGrid"/>
        <w:tblW w:w="0" w:type="auto"/>
        <w:tblLook w:val="04A0" w:firstRow="1" w:lastRow="0" w:firstColumn="1" w:lastColumn="0" w:noHBand="0" w:noVBand="1"/>
      </w:tblPr>
      <w:tblGrid>
        <w:gridCol w:w="846"/>
        <w:gridCol w:w="2693"/>
        <w:gridCol w:w="1559"/>
        <w:gridCol w:w="1986"/>
        <w:gridCol w:w="1951"/>
      </w:tblGrid>
      <w:tr w:rsidR="009D1DBD" w:rsidRPr="00F62AD6" w14:paraId="1FD745CC" w14:textId="77777777" w:rsidTr="00A324EB">
        <w:trPr>
          <w:trHeight w:val="300"/>
        </w:trPr>
        <w:tc>
          <w:tcPr>
            <w:tcW w:w="846" w:type="dxa"/>
            <w:noWrap/>
            <w:hideMark/>
          </w:tcPr>
          <w:p w14:paraId="15F2D506" w14:textId="39181570" w:rsidR="00A56143" w:rsidRPr="00F62AD6" w:rsidRDefault="00A56143" w:rsidP="00A56143">
            <w:pPr>
              <w:rPr>
                <w:rFonts w:ascii="Arial" w:hAnsi="Arial" w:cs="Arial"/>
                <w:b/>
                <w:sz w:val="20"/>
                <w:szCs w:val="20"/>
              </w:rPr>
            </w:pPr>
            <w:r w:rsidRPr="00F62AD6">
              <w:rPr>
                <w:rFonts w:ascii="Arial" w:hAnsi="Arial" w:cs="Arial"/>
                <w:b/>
                <w:sz w:val="20"/>
                <w:szCs w:val="20"/>
              </w:rPr>
              <w:t>year</w:t>
            </w:r>
          </w:p>
        </w:tc>
        <w:tc>
          <w:tcPr>
            <w:tcW w:w="2693" w:type="dxa"/>
            <w:noWrap/>
            <w:hideMark/>
          </w:tcPr>
          <w:p w14:paraId="1FE30E24" w14:textId="10250FA8" w:rsidR="00A56143" w:rsidRPr="00F62AD6" w:rsidRDefault="00A56143" w:rsidP="00A56143">
            <w:pPr>
              <w:rPr>
                <w:rFonts w:ascii="Arial" w:hAnsi="Arial" w:cs="Arial"/>
                <w:b/>
                <w:sz w:val="20"/>
                <w:szCs w:val="20"/>
              </w:rPr>
            </w:pPr>
            <w:r w:rsidRPr="00F62AD6">
              <w:rPr>
                <w:rFonts w:ascii="Arial" w:hAnsi="Arial" w:cs="Arial"/>
                <w:b/>
                <w:sz w:val="20"/>
                <w:szCs w:val="20"/>
              </w:rPr>
              <w:t>offence _x</w:t>
            </w:r>
          </w:p>
        </w:tc>
        <w:tc>
          <w:tcPr>
            <w:tcW w:w="1559" w:type="dxa"/>
            <w:noWrap/>
            <w:hideMark/>
          </w:tcPr>
          <w:p w14:paraId="64A22F14" w14:textId="0335DE58" w:rsidR="00A56143" w:rsidRPr="00F62AD6" w:rsidRDefault="00A56143" w:rsidP="00A56143">
            <w:pPr>
              <w:rPr>
                <w:rFonts w:ascii="Arial" w:hAnsi="Arial" w:cs="Arial"/>
                <w:b/>
                <w:sz w:val="20"/>
                <w:szCs w:val="20"/>
              </w:rPr>
            </w:pPr>
            <w:proofErr w:type="spellStart"/>
            <w:r w:rsidRPr="00F62AD6">
              <w:rPr>
                <w:rFonts w:ascii="Arial" w:hAnsi="Arial" w:cs="Arial"/>
                <w:b/>
                <w:sz w:val="20"/>
                <w:szCs w:val="20"/>
              </w:rPr>
              <w:t>n_defendants</w:t>
            </w:r>
            <w:proofErr w:type="spellEnd"/>
            <w:r w:rsidR="009D1DBD" w:rsidRPr="00F62AD6">
              <w:rPr>
                <w:rFonts w:ascii="Arial" w:hAnsi="Arial" w:cs="Arial"/>
                <w:b/>
                <w:sz w:val="20"/>
                <w:szCs w:val="20"/>
              </w:rPr>
              <w:t xml:space="preserve"> </w:t>
            </w:r>
            <w:r w:rsidRPr="00F62AD6">
              <w:rPr>
                <w:rFonts w:ascii="Arial" w:hAnsi="Arial" w:cs="Arial"/>
                <w:b/>
                <w:sz w:val="20"/>
                <w:szCs w:val="20"/>
              </w:rPr>
              <w:t>_</w:t>
            </w:r>
            <w:proofErr w:type="spellStart"/>
            <w:r w:rsidRPr="00F62AD6">
              <w:rPr>
                <w:rFonts w:ascii="Arial" w:hAnsi="Arial" w:cs="Arial"/>
                <w:b/>
                <w:sz w:val="20"/>
                <w:szCs w:val="20"/>
              </w:rPr>
              <w:t>offence_x</w:t>
            </w:r>
            <w:proofErr w:type="spellEnd"/>
          </w:p>
        </w:tc>
        <w:tc>
          <w:tcPr>
            <w:tcW w:w="1986" w:type="dxa"/>
            <w:noWrap/>
            <w:hideMark/>
          </w:tcPr>
          <w:p w14:paraId="3CF4EE5A" w14:textId="1D542194" w:rsidR="00A56143" w:rsidRPr="00F62AD6" w:rsidRDefault="009D1DBD" w:rsidP="00A56143">
            <w:pPr>
              <w:rPr>
                <w:rFonts w:ascii="Arial" w:hAnsi="Arial" w:cs="Arial"/>
                <w:b/>
                <w:sz w:val="20"/>
                <w:szCs w:val="20"/>
              </w:rPr>
            </w:pPr>
            <w:proofErr w:type="spellStart"/>
            <w:r w:rsidRPr="00F62AD6">
              <w:rPr>
                <w:rFonts w:ascii="Arial" w:hAnsi="Arial" w:cs="Arial"/>
                <w:b/>
                <w:sz w:val="20"/>
                <w:szCs w:val="20"/>
              </w:rPr>
              <w:t>o</w:t>
            </w:r>
            <w:r w:rsidR="00A56143" w:rsidRPr="00F62AD6">
              <w:rPr>
                <w:rFonts w:ascii="Arial" w:hAnsi="Arial" w:cs="Arial"/>
                <w:b/>
                <w:sz w:val="20"/>
                <w:szCs w:val="20"/>
              </w:rPr>
              <w:t>ffence_y</w:t>
            </w:r>
            <w:proofErr w:type="spellEnd"/>
          </w:p>
        </w:tc>
        <w:tc>
          <w:tcPr>
            <w:tcW w:w="1932" w:type="dxa"/>
            <w:noWrap/>
            <w:hideMark/>
          </w:tcPr>
          <w:p w14:paraId="1B68D59A" w14:textId="58F1C9E2" w:rsidR="00A56143" w:rsidRPr="00F62AD6" w:rsidRDefault="00A56143" w:rsidP="00A56143">
            <w:pPr>
              <w:rPr>
                <w:rFonts w:ascii="Arial" w:hAnsi="Arial" w:cs="Arial"/>
                <w:b/>
                <w:sz w:val="20"/>
                <w:szCs w:val="20"/>
              </w:rPr>
            </w:pPr>
            <w:proofErr w:type="spellStart"/>
            <w:r w:rsidRPr="00F62AD6">
              <w:rPr>
                <w:rFonts w:ascii="Arial" w:hAnsi="Arial" w:cs="Arial"/>
                <w:b/>
                <w:sz w:val="20"/>
                <w:szCs w:val="20"/>
              </w:rPr>
              <w:t>n_defendants</w:t>
            </w:r>
            <w:proofErr w:type="spellEnd"/>
            <w:r w:rsidRPr="00F62AD6">
              <w:rPr>
                <w:rFonts w:ascii="Arial" w:hAnsi="Arial" w:cs="Arial"/>
                <w:b/>
                <w:sz w:val="20"/>
                <w:szCs w:val="20"/>
              </w:rPr>
              <w:t>_</w:t>
            </w:r>
            <w:r w:rsidR="009D1DBD" w:rsidRPr="00F62AD6">
              <w:rPr>
                <w:rFonts w:ascii="Arial" w:hAnsi="Arial" w:cs="Arial"/>
                <w:b/>
                <w:sz w:val="20"/>
                <w:szCs w:val="20"/>
              </w:rPr>
              <w:t xml:space="preserve"> </w:t>
            </w:r>
            <w:proofErr w:type="spellStart"/>
            <w:r w:rsidRPr="00F62AD6">
              <w:rPr>
                <w:rFonts w:ascii="Arial" w:hAnsi="Arial" w:cs="Arial"/>
                <w:b/>
                <w:sz w:val="20"/>
                <w:szCs w:val="20"/>
              </w:rPr>
              <w:t>offences_x_and_y</w:t>
            </w:r>
            <w:proofErr w:type="spellEnd"/>
          </w:p>
        </w:tc>
      </w:tr>
      <w:tr w:rsidR="009D1DBD" w:rsidRPr="00F62AD6" w14:paraId="2092D736" w14:textId="77777777" w:rsidTr="00A324EB">
        <w:trPr>
          <w:trHeight w:val="300"/>
        </w:trPr>
        <w:tc>
          <w:tcPr>
            <w:tcW w:w="846" w:type="dxa"/>
            <w:noWrap/>
            <w:hideMark/>
          </w:tcPr>
          <w:p w14:paraId="209D5636" w14:textId="77657B5F" w:rsidR="00A56143" w:rsidRPr="00F62AD6" w:rsidRDefault="00A56143" w:rsidP="00A56143">
            <w:pPr>
              <w:rPr>
                <w:rFonts w:ascii="Arial" w:hAnsi="Arial" w:cs="Arial"/>
                <w:sz w:val="20"/>
                <w:szCs w:val="20"/>
              </w:rPr>
            </w:pPr>
            <w:r w:rsidRPr="00F62AD6">
              <w:rPr>
                <w:rFonts w:ascii="Arial" w:hAnsi="Arial" w:cs="Arial"/>
                <w:sz w:val="20"/>
                <w:szCs w:val="20"/>
              </w:rPr>
              <w:t>2018</w:t>
            </w:r>
          </w:p>
        </w:tc>
        <w:tc>
          <w:tcPr>
            <w:tcW w:w="2693" w:type="dxa"/>
            <w:noWrap/>
            <w:hideMark/>
          </w:tcPr>
          <w:p w14:paraId="4F012ACF" w14:textId="6AD126EC" w:rsidR="00A56143" w:rsidRPr="00F62AD6" w:rsidRDefault="00A56143" w:rsidP="00A56143">
            <w:pPr>
              <w:rPr>
                <w:rFonts w:ascii="Arial" w:hAnsi="Arial" w:cs="Arial"/>
                <w:sz w:val="20"/>
                <w:szCs w:val="20"/>
              </w:rPr>
            </w:pPr>
            <w:bookmarkStart w:id="2" w:name="_Hlk8308076"/>
            <w:r w:rsidRPr="00F62AD6">
              <w:rPr>
                <w:rFonts w:ascii="Arial" w:hAnsi="Arial" w:cs="Arial"/>
                <w:sz w:val="20"/>
                <w:szCs w:val="20"/>
              </w:rPr>
              <w:t>8.21 Engage in controlling / coercive behaviour in an intimate / family relationship</w:t>
            </w:r>
            <w:bookmarkEnd w:id="2"/>
          </w:p>
        </w:tc>
        <w:tc>
          <w:tcPr>
            <w:tcW w:w="1559" w:type="dxa"/>
            <w:noWrap/>
            <w:hideMark/>
          </w:tcPr>
          <w:p w14:paraId="7AD43531" w14:textId="49069CD5" w:rsidR="00A56143" w:rsidRPr="00F62AD6" w:rsidRDefault="00A56143" w:rsidP="00A56143">
            <w:pPr>
              <w:rPr>
                <w:rFonts w:ascii="Arial" w:hAnsi="Arial" w:cs="Arial"/>
                <w:sz w:val="20"/>
                <w:szCs w:val="20"/>
              </w:rPr>
            </w:pPr>
            <w:r w:rsidRPr="00F62AD6">
              <w:rPr>
                <w:rFonts w:ascii="Arial" w:hAnsi="Arial" w:cs="Arial"/>
                <w:sz w:val="20"/>
                <w:szCs w:val="20"/>
              </w:rPr>
              <w:t>920</w:t>
            </w:r>
          </w:p>
        </w:tc>
        <w:tc>
          <w:tcPr>
            <w:tcW w:w="1986" w:type="dxa"/>
            <w:noWrap/>
            <w:hideMark/>
          </w:tcPr>
          <w:p w14:paraId="3A098B84" w14:textId="38EDDA4C" w:rsidR="00A56143" w:rsidRPr="00F62AD6" w:rsidRDefault="00A56143" w:rsidP="00A56143">
            <w:pPr>
              <w:rPr>
                <w:rFonts w:ascii="Arial" w:hAnsi="Arial" w:cs="Arial"/>
                <w:sz w:val="20"/>
                <w:szCs w:val="20"/>
              </w:rPr>
            </w:pPr>
            <w:r w:rsidRPr="00F62AD6">
              <w:rPr>
                <w:rFonts w:ascii="Arial" w:hAnsi="Arial" w:cs="Arial"/>
                <w:sz w:val="20"/>
                <w:szCs w:val="20"/>
              </w:rPr>
              <w:t>105 Common assault and battery</w:t>
            </w:r>
          </w:p>
        </w:tc>
        <w:tc>
          <w:tcPr>
            <w:tcW w:w="1932" w:type="dxa"/>
            <w:noWrap/>
            <w:hideMark/>
          </w:tcPr>
          <w:p w14:paraId="1B3A2464" w14:textId="7AC9CD31" w:rsidR="00A56143" w:rsidRPr="00F62AD6" w:rsidRDefault="00A56143" w:rsidP="00A56143">
            <w:pPr>
              <w:rPr>
                <w:rFonts w:ascii="Arial" w:hAnsi="Arial" w:cs="Arial"/>
                <w:sz w:val="20"/>
                <w:szCs w:val="20"/>
              </w:rPr>
            </w:pPr>
            <w:r w:rsidRPr="00F62AD6">
              <w:rPr>
                <w:rFonts w:ascii="Arial" w:hAnsi="Arial" w:cs="Arial"/>
                <w:sz w:val="20"/>
                <w:szCs w:val="20"/>
              </w:rPr>
              <w:t>457</w:t>
            </w:r>
          </w:p>
        </w:tc>
      </w:tr>
      <w:tr w:rsidR="009D1DBD" w:rsidRPr="00F62AD6" w14:paraId="6F8A7042" w14:textId="77777777" w:rsidTr="00A324EB">
        <w:trPr>
          <w:trHeight w:val="300"/>
        </w:trPr>
        <w:tc>
          <w:tcPr>
            <w:tcW w:w="846" w:type="dxa"/>
            <w:noWrap/>
            <w:hideMark/>
          </w:tcPr>
          <w:p w14:paraId="3C570603" w14:textId="4F31DAC3" w:rsidR="00A56143" w:rsidRPr="00F62AD6" w:rsidRDefault="00A56143" w:rsidP="00A56143">
            <w:pPr>
              <w:rPr>
                <w:rFonts w:ascii="Arial" w:hAnsi="Arial" w:cs="Arial"/>
                <w:sz w:val="20"/>
                <w:szCs w:val="20"/>
              </w:rPr>
            </w:pPr>
            <w:r w:rsidRPr="00F62AD6">
              <w:rPr>
                <w:rFonts w:ascii="Arial" w:hAnsi="Arial" w:cs="Arial"/>
                <w:sz w:val="20"/>
                <w:szCs w:val="20"/>
              </w:rPr>
              <w:t>2018</w:t>
            </w:r>
          </w:p>
        </w:tc>
        <w:tc>
          <w:tcPr>
            <w:tcW w:w="2693" w:type="dxa"/>
            <w:noWrap/>
            <w:hideMark/>
          </w:tcPr>
          <w:p w14:paraId="718E814C" w14:textId="5D8192BB" w:rsidR="00A56143" w:rsidRPr="00F62AD6" w:rsidRDefault="00A56143" w:rsidP="00A56143">
            <w:pPr>
              <w:rPr>
                <w:rFonts w:ascii="Arial" w:hAnsi="Arial" w:cs="Arial"/>
                <w:sz w:val="20"/>
                <w:szCs w:val="20"/>
              </w:rPr>
            </w:pPr>
            <w:r w:rsidRPr="00F62AD6">
              <w:rPr>
                <w:rFonts w:ascii="Arial" w:hAnsi="Arial" w:cs="Arial"/>
                <w:sz w:val="20"/>
                <w:szCs w:val="20"/>
              </w:rPr>
              <w:t>8.21 Engage in controlling / coercive behaviour in an intimate / family relationship</w:t>
            </w:r>
          </w:p>
        </w:tc>
        <w:tc>
          <w:tcPr>
            <w:tcW w:w="1559" w:type="dxa"/>
            <w:noWrap/>
            <w:hideMark/>
          </w:tcPr>
          <w:p w14:paraId="03032325" w14:textId="0D5AEED1" w:rsidR="00A56143" w:rsidRPr="00F62AD6" w:rsidRDefault="00A56143" w:rsidP="00A56143">
            <w:pPr>
              <w:rPr>
                <w:rFonts w:ascii="Arial" w:hAnsi="Arial" w:cs="Arial"/>
                <w:sz w:val="20"/>
                <w:szCs w:val="20"/>
              </w:rPr>
            </w:pPr>
            <w:r w:rsidRPr="00F62AD6">
              <w:rPr>
                <w:rFonts w:ascii="Arial" w:hAnsi="Arial" w:cs="Arial"/>
                <w:sz w:val="20"/>
                <w:szCs w:val="20"/>
              </w:rPr>
              <w:t>920</w:t>
            </w:r>
          </w:p>
        </w:tc>
        <w:tc>
          <w:tcPr>
            <w:tcW w:w="1986" w:type="dxa"/>
            <w:noWrap/>
            <w:hideMark/>
          </w:tcPr>
          <w:p w14:paraId="2A67F086" w14:textId="36206B7E" w:rsidR="00A56143" w:rsidRPr="00F62AD6" w:rsidRDefault="00A56143" w:rsidP="00A56143">
            <w:pPr>
              <w:rPr>
                <w:rFonts w:ascii="Arial" w:hAnsi="Arial" w:cs="Arial"/>
                <w:sz w:val="20"/>
                <w:szCs w:val="20"/>
              </w:rPr>
            </w:pPr>
            <w:bookmarkStart w:id="3" w:name="_Hlk8308125"/>
            <w:r w:rsidRPr="00F62AD6">
              <w:rPr>
                <w:rFonts w:ascii="Arial" w:hAnsi="Arial" w:cs="Arial"/>
                <w:sz w:val="20"/>
                <w:szCs w:val="20"/>
              </w:rPr>
              <w:t>8.01 Assault occasioning actual bodily harm</w:t>
            </w:r>
            <w:bookmarkEnd w:id="3"/>
          </w:p>
        </w:tc>
        <w:tc>
          <w:tcPr>
            <w:tcW w:w="1932" w:type="dxa"/>
            <w:noWrap/>
            <w:hideMark/>
          </w:tcPr>
          <w:p w14:paraId="7083135B" w14:textId="6C84A5DD" w:rsidR="00A56143" w:rsidRPr="00F62AD6" w:rsidRDefault="00A56143" w:rsidP="00A56143">
            <w:pPr>
              <w:rPr>
                <w:rFonts w:ascii="Arial" w:hAnsi="Arial" w:cs="Arial"/>
                <w:sz w:val="20"/>
                <w:szCs w:val="20"/>
              </w:rPr>
            </w:pPr>
            <w:r w:rsidRPr="00F62AD6">
              <w:rPr>
                <w:rFonts w:ascii="Arial" w:hAnsi="Arial" w:cs="Arial"/>
                <w:sz w:val="20"/>
                <w:szCs w:val="20"/>
              </w:rPr>
              <w:t>200</w:t>
            </w:r>
          </w:p>
        </w:tc>
      </w:tr>
    </w:tbl>
    <w:p w14:paraId="5BC0104E" w14:textId="77777777" w:rsidR="006A28E8" w:rsidRPr="00F62AD6" w:rsidRDefault="006A28E8" w:rsidP="006A28E8">
      <w:pPr>
        <w:rPr>
          <w:rFonts w:ascii="Arial" w:hAnsi="Arial" w:cs="Arial"/>
          <w:sz w:val="20"/>
          <w:szCs w:val="20"/>
        </w:rPr>
      </w:pPr>
    </w:p>
    <w:p w14:paraId="7F38864E" w14:textId="21E81F31" w:rsidR="00CF44C2" w:rsidRPr="00F62AD6" w:rsidRDefault="006A28E8" w:rsidP="00CF44C2">
      <w:pPr>
        <w:rPr>
          <w:rFonts w:ascii="Arial" w:hAnsi="Arial" w:cs="Arial"/>
          <w:sz w:val="20"/>
          <w:szCs w:val="20"/>
        </w:rPr>
      </w:pPr>
      <w:r w:rsidRPr="00F62AD6">
        <w:rPr>
          <w:rFonts w:ascii="Arial" w:hAnsi="Arial" w:cs="Arial"/>
          <w:sz w:val="20"/>
          <w:szCs w:val="20"/>
        </w:rPr>
        <w:t xml:space="preserve">Table 1 </w:t>
      </w:r>
      <w:r w:rsidR="00CF44C2" w:rsidRPr="00F62AD6">
        <w:rPr>
          <w:rFonts w:ascii="Arial" w:hAnsi="Arial" w:cs="Arial"/>
          <w:sz w:val="20"/>
          <w:szCs w:val="20"/>
        </w:rPr>
        <w:t>can</w:t>
      </w:r>
      <w:r w:rsidRPr="00F62AD6">
        <w:rPr>
          <w:rFonts w:ascii="Arial" w:hAnsi="Arial" w:cs="Arial"/>
          <w:sz w:val="20"/>
          <w:szCs w:val="20"/>
        </w:rPr>
        <w:t xml:space="preserve"> be interpreted as follows: </w:t>
      </w:r>
      <w:r w:rsidR="00007D59" w:rsidRPr="00F62AD6">
        <w:rPr>
          <w:rFonts w:ascii="Arial" w:hAnsi="Arial" w:cs="Arial"/>
          <w:sz w:val="20"/>
          <w:szCs w:val="20"/>
        </w:rPr>
        <w:t>I</w:t>
      </w:r>
      <w:r w:rsidRPr="00F62AD6">
        <w:rPr>
          <w:rFonts w:ascii="Arial" w:hAnsi="Arial" w:cs="Arial"/>
          <w:sz w:val="20"/>
          <w:szCs w:val="20"/>
        </w:rPr>
        <w:t>n 2018, a total of 920 defendants were prosecuted for ‘</w:t>
      </w:r>
      <w:r w:rsidR="00007D59" w:rsidRPr="00F62AD6">
        <w:rPr>
          <w:rFonts w:ascii="Arial" w:hAnsi="Arial" w:cs="Arial"/>
          <w:sz w:val="20"/>
          <w:szCs w:val="20"/>
        </w:rPr>
        <w:t>e</w:t>
      </w:r>
      <w:r w:rsidRPr="00F62AD6">
        <w:rPr>
          <w:rFonts w:ascii="Arial" w:hAnsi="Arial" w:cs="Arial"/>
          <w:sz w:val="20"/>
          <w:szCs w:val="20"/>
        </w:rPr>
        <w:t>ngag</w:t>
      </w:r>
      <w:r w:rsidR="00007D59" w:rsidRPr="00F62AD6">
        <w:rPr>
          <w:rFonts w:ascii="Arial" w:hAnsi="Arial" w:cs="Arial"/>
          <w:sz w:val="20"/>
          <w:szCs w:val="20"/>
        </w:rPr>
        <w:t>ing</w:t>
      </w:r>
      <w:r w:rsidRPr="00F62AD6">
        <w:rPr>
          <w:rFonts w:ascii="Arial" w:hAnsi="Arial" w:cs="Arial"/>
          <w:sz w:val="20"/>
          <w:szCs w:val="20"/>
        </w:rPr>
        <w:t xml:space="preserve"> in controlling</w:t>
      </w:r>
      <w:r w:rsidR="00007D59" w:rsidRPr="00F62AD6">
        <w:rPr>
          <w:rFonts w:ascii="Arial" w:hAnsi="Arial" w:cs="Arial"/>
          <w:sz w:val="20"/>
          <w:szCs w:val="20"/>
        </w:rPr>
        <w:t xml:space="preserve"> or </w:t>
      </w:r>
      <w:r w:rsidRPr="00F62AD6">
        <w:rPr>
          <w:rFonts w:ascii="Arial" w:hAnsi="Arial" w:cs="Arial"/>
          <w:sz w:val="20"/>
          <w:szCs w:val="20"/>
        </w:rPr>
        <w:t xml:space="preserve">coercive behaviour in an intimate/family relationship’ as either a principal or </w:t>
      </w:r>
      <w:r w:rsidR="00007D59" w:rsidRPr="00F62AD6">
        <w:rPr>
          <w:rFonts w:ascii="Arial" w:hAnsi="Arial" w:cs="Arial"/>
          <w:sz w:val="20"/>
          <w:szCs w:val="20"/>
        </w:rPr>
        <w:t xml:space="preserve">a </w:t>
      </w:r>
      <w:r w:rsidRPr="00F62AD6">
        <w:rPr>
          <w:rFonts w:ascii="Arial" w:hAnsi="Arial" w:cs="Arial"/>
          <w:sz w:val="20"/>
          <w:szCs w:val="20"/>
        </w:rPr>
        <w:t>non-principal offence. Of those defendants, 457 were also prosecuted</w:t>
      </w:r>
      <w:r w:rsidR="00007D59" w:rsidRPr="00F62AD6">
        <w:rPr>
          <w:rFonts w:ascii="Arial" w:hAnsi="Arial" w:cs="Arial"/>
          <w:sz w:val="20"/>
          <w:szCs w:val="20"/>
        </w:rPr>
        <w:t xml:space="preserve"> for</w:t>
      </w:r>
      <w:r w:rsidRPr="00F62AD6">
        <w:rPr>
          <w:rFonts w:ascii="Arial" w:hAnsi="Arial" w:cs="Arial"/>
          <w:sz w:val="20"/>
          <w:szCs w:val="20"/>
        </w:rPr>
        <w:t xml:space="preserve"> </w:t>
      </w:r>
      <w:r w:rsidR="00385E3F" w:rsidRPr="00F62AD6">
        <w:rPr>
          <w:rFonts w:ascii="Arial" w:hAnsi="Arial" w:cs="Arial"/>
          <w:sz w:val="20"/>
          <w:szCs w:val="20"/>
        </w:rPr>
        <w:t>‘</w:t>
      </w:r>
      <w:r w:rsidR="00007D59" w:rsidRPr="00F62AD6">
        <w:rPr>
          <w:rFonts w:ascii="Arial" w:hAnsi="Arial" w:cs="Arial"/>
          <w:sz w:val="20"/>
          <w:szCs w:val="20"/>
        </w:rPr>
        <w:t>common assault and battery</w:t>
      </w:r>
      <w:r w:rsidR="00385E3F" w:rsidRPr="00F62AD6">
        <w:rPr>
          <w:rFonts w:ascii="Arial" w:hAnsi="Arial" w:cs="Arial"/>
          <w:sz w:val="20"/>
          <w:szCs w:val="20"/>
        </w:rPr>
        <w:t xml:space="preserve">’ </w:t>
      </w:r>
      <w:r w:rsidRPr="00F62AD6">
        <w:rPr>
          <w:rFonts w:ascii="Arial" w:hAnsi="Arial" w:cs="Arial"/>
          <w:sz w:val="20"/>
          <w:szCs w:val="20"/>
        </w:rPr>
        <w:t xml:space="preserve">and 200 were </w:t>
      </w:r>
      <w:r w:rsidR="00007D59" w:rsidRPr="00F62AD6">
        <w:rPr>
          <w:rFonts w:ascii="Arial" w:hAnsi="Arial" w:cs="Arial"/>
          <w:sz w:val="20"/>
          <w:szCs w:val="20"/>
        </w:rPr>
        <w:t xml:space="preserve">also </w:t>
      </w:r>
      <w:r w:rsidRPr="00F62AD6">
        <w:rPr>
          <w:rFonts w:ascii="Arial" w:hAnsi="Arial" w:cs="Arial"/>
          <w:sz w:val="20"/>
          <w:szCs w:val="20"/>
        </w:rPr>
        <w:t>prosecuted for ‘</w:t>
      </w:r>
      <w:r w:rsidR="00007D59" w:rsidRPr="00F62AD6">
        <w:rPr>
          <w:rFonts w:ascii="Arial" w:hAnsi="Arial" w:cs="Arial"/>
          <w:sz w:val="20"/>
          <w:szCs w:val="20"/>
        </w:rPr>
        <w:t>a</w:t>
      </w:r>
      <w:r w:rsidRPr="00F62AD6">
        <w:rPr>
          <w:rFonts w:ascii="Arial" w:hAnsi="Arial" w:cs="Arial"/>
          <w:sz w:val="20"/>
          <w:szCs w:val="20"/>
        </w:rPr>
        <w:t>ssault occasioning actual bodily harm’.</w:t>
      </w:r>
    </w:p>
    <w:p w14:paraId="334F3AF7" w14:textId="60D4AA4E" w:rsidR="00CF44C2" w:rsidRPr="00F62AD6" w:rsidRDefault="00CF44C2" w:rsidP="00CF44C2">
      <w:pPr>
        <w:rPr>
          <w:rFonts w:ascii="Arial" w:hAnsi="Arial" w:cs="Arial"/>
          <w:sz w:val="20"/>
          <w:szCs w:val="20"/>
        </w:rPr>
      </w:pPr>
      <w:r w:rsidRPr="00F62AD6">
        <w:rPr>
          <w:rFonts w:ascii="Arial" w:hAnsi="Arial" w:cs="Arial"/>
          <w:sz w:val="20"/>
          <w:szCs w:val="20"/>
        </w:rPr>
        <w:t xml:space="preserve">‘Common assault and battery’ and ‘assault occasioning actual bodily harm’ </w:t>
      </w:r>
      <w:proofErr w:type="gramStart"/>
      <w:r w:rsidRPr="00F62AD6">
        <w:rPr>
          <w:rFonts w:ascii="Arial" w:hAnsi="Arial" w:cs="Arial"/>
          <w:sz w:val="20"/>
          <w:szCs w:val="20"/>
        </w:rPr>
        <w:t>were</w:t>
      </w:r>
      <w:proofErr w:type="gramEnd"/>
      <w:r w:rsidRPr="00F62AD6">
        <w:rPr>
          <w:rFonts w:ascii="Arial" w:hAnsi="Arial" w:cs="Arial"/>
          <w:sz w:val="20"/>
          <w:szCs w:val="20"/>
        </w:rPr>
        <w:t xml:space="preserve"> the two offences for which defendants were most commonly prosecuted in combination with ‘engaging in controlling or coercive behaviour in an intimate/family relationship’. Further combinations can be found in the accompanying CSV.</w:t>
      </w:r>
    </w:p>
    <w:p w14:paraId="0493140D" w14:textId="22D9FACA" w:rsidR="00CF44C2" w:rsidRPr="00F62AD6" w:rsidRDefault="00CC5814" w:rsidP="00CF44C2">
      <w:pPr>
        <w:rPr>
          <w:rFonts w:ascii="Arial" w:hAnsi="Arial" w:cs="Arial"/>
          <w:sz w:val="20"/>
          <w:szCs w:val="20"/>
        </w:rPr>
      </w:pPr>
      <w:r w:rsidRPr="00F62AD6">
        <w:rPr>
          <w:rFonts w:ascii="Arial" w:hAnsi="Arial" w:cs="Arial"/>
          <w:sz w:val="20"/>
          <w:szCs w:val="20"/>
        </w:rPr>
        <w:t>Note</w:t>
      </w:r>
      <w:r w:rsidR="00CF44C2" w:rsidRPr="00F62AD6">
        <w:rPr>
          <w:rFonts w:ascii="Arial" w:hAnsi="Arial" w:cs="Arial"/>
          <w:sz w:val="20"/>
          <w:szCs w:val="20"/>
        </w:rPr>
        <w:t xml:space="preserve"> that </w:t>
      </w:r>
      <w:r w:rsidR="00007D59" w:rsidRPr="00F62AD6">
        <w:rPr>
          <w:rFonts w:ascii="Arial" w:hAnsi="Arial" w:cs="Arial"/>
          <w:sz w:val="20"/>
          <w:szCs w:val="20"/>
        </w:rPr>
        <w:t>some</w:t>
      </w:r>
      <w:r w:rsidRPr="00F62AD6">
        <w:rPr>
          <w:rFonts w:ascii="Arial" w:hAnsi="Arial" w:cs="Arial"/>
          <w:sz w:val="20"/>
          <w:szCs w:val="20"/>
        </w:rPr>
        <w:t xml:space="preserve"> </w:t>
      </w:r>
      <w:r w:rsidR="00007D59" w:rsidRPr="00F62AD6">
        <w:rPr>
          <w:rFonts w:ascii="Arial" w:hAnsi="Arial" w:cs="Arial"/>
          <w:sz w:val="20"/>
          <w:szCs w:val="20"/>
        </w:rPr>
        <w:t>of the 920 d</w:t>
      </w:r>
      <w:r w:rsidR="006A28E8" w:rsidRPr="00F62AD6">
        <w:rPr>
          <w:rFonts w:ascii="Arial" w:hAnsi="Arial" w:cs="Arial"/>
          <w:sz w:val="20"/>
          <w:szCs w:val="20"/>
        </w:rPr>
        <w:t xml:space="preserve">efendants </w:t>
      </w:r>
      <w:r w:rsidR="00007D59" w:rsidRPr="00F62AD6">
        <w:rPr>
          <w:rFonts w:ascii="Arial" w:hAnsi="Arial" w:cs="Arial"/>
          <w:sz w:val="20"/>
          <w:szCs w:val="20"/>
        </w:rPr>
        <w:t xml:space="preserve">prosecuted for ‘engaging in controlling or coercive behaviour in an intimate/family relationship’ may have been </w:t>
      </w:r>
      <w:r w:rsidR="006A28E8" w:rsidRPr="00F62AD6">
        <w:rPr>
          <w:rFonts w:ascii="Arial" w:hAnsi="Arial" w:cs="Arial"/>
          <w:sz w:val="20"/>
          <w:szCs w:val="20"/>
        </w:rPr>
        <w:t xml:space="preserve">prosecuted for multiple counts </w:t>
      </w:r>
      <w:r w:rsidR="00007D59" w:rsidRPr="00F62AD6">
        <w:rPr>
          <w:rFonts w:ascii="Arial" w:hAnsi="Arial" w:cs="Arial"/>
          <w:sz w:val="20"/>
          <w:szCs w:val="20"/>
        </w:rPr>
        <w:t>this offence. Such defendants</w:t>
      </w:r>
      <w:r w:rsidR="006A28E8" w:rsidRPr="00F62AD6">
        <w:rPr>
          <w:rFonts w:ascii="Arial" w:hAnsi="Arial" w:cs="Arial"/>
          <w:sz w:val="20"/>
          <w:szCs w:val="20"/>
        </w:rPr>
        <w:t xml:space="preserve"> are only </w:t>
      </w:r>
      <w:r w:rsidR="00007D59" w:rsidRPr="00F62AD6">
        <w:rPr>
          <w:rFonts w:ascii="Arial" w:hAnsi="Arial" w:cs="Arial"/>
          <w:sz w:val="20"/>
          <w:szCs w:val="20"/>
        </w:rPr>
        <w:t>counted</w:t>
      </w:r>
      <w:r w:rsidR="006A28E8" w:rsidRPr="00F62AD6">
        <w:rPr>
          <w:rFonts w:ascii="Arial" w:hAnsi="Arial" w:cs="Arial"/>
          <w:sz w:val="20"/>
          <w:szCs w:val="20"/>
        </w:rPr>
        <w:t xml:space="preserve"> once.</w:t>
      </w:r>
      <w:r w:rsidR="00007D59" w:rsidRPr="00F62AD6">
        <w:rPr>
          <w:rFonts w:ascii="Arial" w:hAnsi="Arial" w:cs="Arial"/>
          <w:sz w:val="20"/>
          <w:szCs w:val="20"/>
        </w:rPr>
        <w:t xml:space="preserve"> Similarly, T</w:t>
      </w:r>
      <w:r w:rsidR="00385E3F" w:rsidRPr="00F62AD6">
        <w:rPr>
          <w:rFonts w:ascii="Arial" w:hAnsi="Arial" w:cs="Arial"/>
          <w:sz w:val="20"/>
          <w:szCs w:val="20"/>
        </w:rPr>
        <w:t xml:space="preserve">able </w:t>
      </w:r>
      <w:r w:rsidR="00007D59" w:rsidRPr="00F62AD6">
        <w:rPr>
          <w:rFonts w:ascii="Arial" w:hAnsi="Arial" w:cs="Arial"/>
          <w:sz w:val="20"/>
          <w:szCs w:val="20"/>
        </w:rPr>
        <w:t xml:space="preserve">1 </w:t>
      </w:r>
      <w:r w:rsidR="00385E3F" w:rsidRPr="00F62AD6">
        <w:rPr>
          <w:rFonts w:ascii="Arial" w:hAnsi="Arial" w:cs="Arial"/>
          <w:sz w:val="20"/>
          <w:szCs w:val="20"/>
        </w:rPr>
        <w:t>shows 457 defendants prosecuted for</w:t>
      </w:r>
      <w:r w:rsidR="00007D59" w:rsidRPr="00F62AD6">
        <w:rPr>
          <w:rFonts w:ascii="Arial" w:hAnsi="Arial" w:cs="Arial"/>
          <w:sz w:val="20"/>
          <w:szCs w:val="20"/>
        </w:rPr>
        <w:t xml:space="preserve"> both ‘engaging in controlling or coercive behaviour in an intimate/family relationship’ and ‘common assault and battery’</w:t>
      </w:r>
      <w:r w:rsidR="00385E3F" w:rsidRPr="00F62AD6">
        <w:rPr>
          <w:rFonts w:ascii="Arial" w:hAnsi="Arial" w:cs="Arial"/>
          <w:sz w:val="20"/>
          <w:szCs w:val="20"/>
        </w:rPr>
        <w:t xml:space="preserve">. Defendants prosecuted for multiple counts or either or both offences are only </w:t>
      </w:r>
      <w:r w:rsidR="00007D59" w:rsidRPr="00F62AD6">
        <w:rPr>
          <w:rFonts w:ascii="Arial" w:hAnsi="Arial" w:cs="Arial"/>
          <w:sz w:val="20"/>
          <w:szCs w:val="20"/>
        </w:rPr>
        <w:t>counted</w:t>
      </w:r>
      <w:r w:rsidR="00385E3F" w:rsidRPr="00F62AD6">
        <w:rPr>
          <w:rFonts w:ascii="Arial" w:hAnsi="Arial" w:cs="Arial"/>
          <w:sz w:val="20"/>
          <w:szCs w:val="20"/>
        </w:rPr>
        <w:t xml:space="preserve"> once.</w:t>
      </w:r>
      <w:r w:rsidR="00CF44C2" w:rsidRPr="00F62AD6">
        <w:rPr>
          <w:rFonts w:ascii="Arial" w:hAnsi="Arial" w:cs="Arial"/>
          <w:sz w:val="20"/>
          <w:szCs w:val="20"/>
        </w:rPr>
        <w:t xml:space="preserve"> </w:t>
      </w:r>
    </w:p>
    <w:p w14:paraId="103E894B" w14:textId="08B6B920" w:rsidR="006A28E8" w:rsidRPr="00F62AD6" w:rsidRDefault="006A28E8" w:rsidP="000477E6">
      <w:pPr>
        <w:rPr>
          <w:rFonts w:ascii="Arial" w:hAnsi="Arial" w:cs="Arial"/>
          <w:sz w:val="20"/>
          <w:szCs w:val="20"/>
          <w:u w:val="single"/>
        </w:rPr>
      </w:pPr>
      <w:bookmarkStart w:id="4" w:name="_Hlk8661892"/>
      <w:r w:rsidRPr="00F62AD6">
        <w:rPr>
          <w:rFonts w:ascii="Arial" w:hAnsi="Arial" w:cs="Arial"/>
          <w:sz w:val="20"/>
          <w:szCs w:val="20"/>
          <w:u w:val="single"/>
        </w:rPr>
        <w:t>Comparison with other products</w:t>
      </w:r>
      <w:r w:rsidR="00F87222" w:rsidRPr="00F62AD6">
        <w:rPr>
          <w:rFonts w:ascii="Arial" w:hAnsi="Arial" w:cs="Arial"/>
          <w:sz w:val="20"/>
          <w:szCs w:val="20"/>
          <w:u w:val="single"/>
        </w:rPr>
        <w:t xml:space="preserve"> published alongside the ‘Criminal Justice System statistics </w:t>
      </w:r>
      <w:proofErr w:type="gramStart"/>
      <w:r w:rsidR="00F87222" w:rsidRPr="00F62AD6">
        <w:rPr>
          <w:rFonts w:ascii="Arial" w:hAnsi="Arial" w:cs="Arial"/>
          <w:sz w:val="20"/>
          <w:szCs w:val="20"/>
          <w:u w:val="single"/>
        </w:rPr>
        <w:t>quarterly</w:t>
      </w:r>
      <w:r w:rsidR="00400FF0" w:rsidRPr="00F62AD6">
        <w:rPr>
          <w:rFonts w:ascii="Arial" w:hAnsi="Arial" w:cs="Arial"/>
          <w:sz w:val="20"/>
          <w:szCs w:val="20"/>
          <w:u w:val="single"/>
        </w:rPr>
        <w:t>’</w:t>
      </w:r>
      <w:proofErr w:type="gramEnd"/>
    </w:p>
    <w:p w14:paraId="20DAFCFF" w14:textId="0F8572DD" w:rsidR="00895246" w:rsidRPr="00F62AD6" w:rsidRDefault="00385E3F" w:rsidP="00895246">
      <w:pPr>
        <w:rPr>
          <w:rFonts w:ascii="Arial" w:hAnsi="Arial" w:cs="Arial"/>
          <w:sz w:val="20"/>
          <w:szCs w:val="20"/>
        </w:rPr>
      </w:pPr>
      <w:r w:rsidRPr="00F62AD6">
        <w:rPr>
          <w:rFonts w:ascii="Arial" w:hAnsi="Arial" w:cs="Arial"/>
          <w:sz w:val="20"/>
          <w:szCs w:val="20"/>
        </w:rPr>
        <w:t>The Statistics accompanying this note count defendants on a different</w:t>
      </w:r>
      <w:r w:rsidR="00BE2634" w:rsidRPr="00F62AD6">
        <w:rPr>
          <w:rFonts w:ascii="Arial" w:hAnsi="Arial" w:cs="Arial"/>
          <w:sz w:val="20"/>
          <w:szCs w:val="20"/>
        </w:rPr>
        <w:t xml:space="preserve"> basis</w:t>
      </w:r>
      <w:r w:rsidRPr="00F62AD6">
        <w:rPr>
          <w:rFonts w:ascii="Arial" w:hAnsi="Arial" w:cs="Arial"/>
          <w:sz w:val="20"/>
          <w:szCs w:val="20"/>
        </w:rPr>
        <w:t xml:space="preserve"> to the </w:t>
      </w:r>
      <w:r w:rsidR="00BE2634" w:rsidRPr="00F62AD6">
        <w:rPr>
          <w:rFonts w:ascii="Arial" w:hAnsi="Arial" w:cs="Arial"/>
          <w:sz w:val="20"/>
          <w:szCs w:val="20"/>
        </w:rPr>
        <w:t xml:space="preserve">other products published alongside </w:t>
      </w:r>
      <w:r w:rsidR="00716F26" w:rsidRPr="00F62AD6">
        <w:rPr>
          <w:rFonts w:ascii="Arial" w:hAnsi="Arial" w:cs="Arial"/>
          <w:sz w:val="20"/>
          <w:szCs w:val="20"/>
        </w:rPr>
        <w:t>the ‘Criminal Just</w:t>
      </w:r>
      <w:r w:rsidR="00400FF0" w:rsidRPr="00F62AD6">
        <w:rPr>
          <w:rFonts w:ascii="Arial" w:hAnsi="Arial" w:cs="Arial"/>
          <w:sz w:val="20"/>
          <w:szCs w:val="20"/>
        </w:rPr>
        <w:t>ice System statistics quarterly’</w:t>
      </w:r>
      <w:r w:rsidR="00716F26" w:rsidRPr="00F62AD6">
        <w:rPr>
          <w:rFonts w:ascii="Arial" w:hAnsi="Arial" w:cs="Arial"/>
          <w:sz w:val="20"/>
          <w:szCs w:val="20"/>
        </w:rPr>
        <w:t>. Other accompanying products are presented on either a ‘</w:t>
      </w:r>
      <w:r w:rsidRPr="00F62AD6">
        <w:rPr>
          <w:rFonts w:ascii="Arial" w:hAnsi="Arial" w:cs="Arial"/>
          <w:sz w:val="20"/>
          <w:szCs w:val="20"/>
        </w:rPr>
        <w:t xml:space="preserve">principal offence’ </w:t>
      </w:r>
      <w:r w:rsidR="00895246" w:rsidRPr="00F62AD6">
        <w:rPr>
          <w:rFonts w:ascii="Arial" w:hAnsi="Arial" w:cs="Arial"/>
          <w:sz w:val="20"/>
          <w:szCs w:val="20"/>
        </w:rPr>
        <w:t xml:space="preserve">basis </w:t>
      </w:r>
      <w:r w:rsidR="00716F26" w:rsidRPr="00F62AD6">
        <w:rPr>
          <w:rFonts w:ascii="Arial" w:hAnsi="Arial" w:cs="Arial"/>
          <w:sz w:val="20"/>
          <w:szCs w:val="20"/>
        </w:rPr>
        <w:t>or an</w:t>
      </w:r>
      <w:r w:rsidRPr="00F62AD6">
        <w:rPr>
          <w:rFonts w:ascii="Arial" w:hAnsi="Arial" w:cs="Arial"/>
          <w:sz w:val="20"/>
          <w:szCs w:val="20"/>
        </w:rPr>
        <w:t xml:space="preserve"> </w:t>
      </w:r>
      <w:r w:rsidR="00716F26" w:rsidRPr="00F62AD6">
        <w:rPr>
          <w:rFonts w:ascii="Arial" w:hAnsi="Arial" w:cs="Arial"/>
          <w:sz w:val="20"/>
          <w:szCs w:val="20"/>
        </w:rPr>
        <w:t>‘</w:t>
      </w:r>
      <w:r w:rsidRPr="00F62AD6">
        <w:rPr>
          <w:rFonts w:ascii="Arial" w:hAnsi="Arial" w:cs="Arial"/>
          <w:sz w:val="20"/>
          <w:szCs w:val="20"/>
        </w:rPr>
        <w:t>all offence</w:t>
      </w:r>
      <w:r w:rsidR="00716F26" w:rsidRPr="00F62AD6">
        <w:rPr>
          <w:rFonts w:ascii="Arial" w:hAnsi="Arial" w:cs="Arial"/>
          <w:sz w:val="20"/>
          <w:szCs w:val="20"/>
        </w:rPr>
        <w:t>’ basis</w:t>
      </w:r>
      <w:r w:rsidR="00276FDC" w:rsidRPr="00F62AD6">
        <w:rPr>
          <w:rFonts w:ascii="Arial" w:hAnsi="Arial" w:cs="Arial"/>
          <w:sz w:val="20"/>
          <w:szCs w:val="20"/>
        </w:rPr>
        <w:t>.</w:t>
      </w:r>
      <w:r w:rsidR="00CF44C2" w:rsidRPr="00F62AD6">
        <w:rPr>
          <w:rFonts w:ascii="Arial" w:hAnsi="Arial" w:cs="Arial"/>
          <w:sz w:val="20"/>
          <w:szCs w:val="20"/>
        </w:rPr>
        <w:t xml:space="preserve"> </w:t>
      </w:r>
      <w:r w:rsidR="00AC4F9A" w:rsidRPr="00F62AD6">
        <w:rPr>
          <w:rFonts w:ascii="Arial" w:hAnsi="Arial" w:cs="Arial"/>
          <w:sz w:val="20"/>
          <w:szCs w:val="20"/>
        </w:rPr>
        <w:t>Using products published alongside ‘Criminal Justice System statistics quarterly: December 2018’ t</w:t>
      </w:r>
      <w:r w:rsidR="00716F26" w:rsidRPr="00F62AD6">
        <w:rPr>
          <w:rFonts w:ascii="Arial" w:hAnsi="Arial" w:cs="Arial"/>
          <w:sz w:val="20"/>
          <w:szCs w:val="20"/>
        </w:rPr>
        <w:t>o illustrate the differences</w:t>
      </w:r>
      <w:r w:rsidR="00BE2634" w:rsidRPr="00F62AD6">
        <w:rPr>
          <w:rFonts w:ascii="Arial" w:hAnsi="Arial" w:cs="Arial"/>
          <w:sz w:val="20"/>
          <w:szCs w:val="20"/>
        </w:rPr>
        <w:t>, t</w:t>
      </w:r>
      <w:r w:rsidR="00895246" w:rsidRPr="00F62AD6">
        <w:rPr>
          <w:rFonts w:ascii="Arial" w:hAnsi="Arial" w:cs="Arial"/>
          <w:sz w:val="20"/>
          <w:szCs w:val="20"/>
        </w:rPr>
        <w:t>aking the number of prosecutions for offence ‘1 Murder’ in 2018 as an example:</w:t>
      </w:r>
    </w:p>
    <w:p w14:paraId="26BB4F7A" w14:textId="40225E12" w:rsidR="00895246" w:rsidRPr="00F62AD6" w:rsidRDefault="00CC5814" w:rsidP="00A324EB">
      <w:pPr>
        <w:pStyle w:val="ListParagraph"/>
        <w:numPr>
          <w:ilvl w:val="0"/>
          <w:numId w:val="26"/>
        </w:numPr>
        <w:rPr>
          <w:rFonts w:ascii="Arial" w:hAnsi="Arial" w:cs="Arial"/>
          <w:sz w:val="20"/>
          <w:szCs w:val="20"/>
        </w:rPr>
      </w:pPr>
      <w:r w:rsidRPr="00F62AD6">
        <w:rPr>
          <w:rFonts w:ascii="Arial" w:hAnsi="Arial" w:cs="Arial"/>
          <w:sz w:val="20"/>
          <w:szCs w:val="20"/>
        </w:rPr>
        <w:t xml:space="preserve">635 defendants were prosecuted for </w:t>
      </w:r>
      <w:r w:rsidR="00716F26" w:rsidRPr="00F62AD6">
        <w:rPr>
          <w:rFonts w:ascii="Arial" w:hAnsi="Arial" w:cs="Arial"/>
          <w:sz w:val="20"/>
          <w:szCs w:val="20"/>
        </w:rPr>
        <w:t>m</w:t>
      </w:r>
      <w:r w:rsidRPr="00F62AD6">
        <w:rPr>
          <w:rFonts w:ascii="Arial" w:hAnsi="Arial" w:cs="Arial"/>
          <w:sz w:val="20"/>
          <w:szCs w:val="20"/>
        </w:rPr>
        <w:t>urder as their principal offence</w:t>
      </w:r>
      <w:r w:rsidR="00815D1A" w:rsidRPr="00F62AD6">
        <w:rPr>
          <w:rFonts w:ascii="Arial" w:hAnsi="Arial" w:cs="Arial"/>
          <w:sz w:val="20"/>
          <w:szCs w:val="20"/>
        </w:rPr>
        <w:t xml:space="preserve"> (</w:t>
      </w:r>
      <w:r w:rsidR="00C00DCA" w:rsidRPr="00F62AD6">
        <w:rPr>
          <w:rFonts w:ascii="Arial" w:hAnsi="Arial" w:cs="Arial"/>
          <w:sz w:val="20"/>
          <w:szCs w:val="20"/>
        </w:rPr>
        <w:t>source:</w:t>
      </w:r>
      <w:r w:rsidR="00815D1A" w:rsidRPr="00F62AD6">
        <w:rPr>
          <w:rFonts w:ascii="Arial" w:hAnsi="Arial" w:cs="Arial"/>
          <w:sz w:val="20"/>
          <w:szCs w:val="20"/>
        </w:rPr>
        <w:t xml:space="preserve"> </w:t>
      </w:r>
      <w:r w:rsidR="00276FDC" w:rsidRPr="00F62AD6">
        <w:rPr>
          <w:rFonts w:ascii="Arial" w:hAnsi="Arial" w:cs="Arial"/>
          <w:sz w:val="20"/>
          <w:szCs w:val="20"/>
        </w:rPr>
        <w:t>‘Principal offence proceedings and outcomes by Home Office offence code data’ tool</w:t>
      </w:r>
      <w:r w:rsidR="00815D1A" w:rsidRPr="00F62AD6">
        <w:rPr>
          <w:rFonts w:ascii="Arial" w:hAnsi="Arial" w:cs="Arial"/>
          <w:sz w:val="20"/>
          <w:szCs w:val="20"/>
        </w:rPr>
        <w:t>)</w:t>
      </w:r>
    </w:p>
    <w:p w14:paraId="0D05D6F0" w14:textId="0D9444D5" w:rsidR="00CC5814" w:rsidRPr="00F62AD6" w:rsidRDefault="00CC5814" w:rsidP="00AC4F9A">
      <w:pPr>
        <w:pStyle w:val="ListParagraph"/>
        <w:numPr>
          <w:ilvl w:val="0"/>
          <w:numId w:val="26"/>
        </w:numPr>
        <w:rPr>
          <w:rFonts w:ascii="Arial" w:hAnsi="Arial" w:cs="Arial"/>
          <w:sz w:val="20"/>
          <w:szCs w:val="20"/>
        </w:rPr>
      </w:pPr>
      <w:r w:rsidRPr="00F62AD6">
        <w:rPr>
          <w:rFonts w:ascii="Arial" w:hAnsi="Arial" w:cs="Arial"/>
          <w:sz w:val="20"/>
          <w:szCs w:val="20"/>
        </w:rPr>
        <w:t>658 defendants were prosecuted for</w:t>
      </w:r>
      <w:r w:rsidR="00716F26" w:rsidRPr="00F62AD6">
        <w:rPr>
          <w:rFonts w:ascii="Arial" w:hAnsi="Arial" w:cs="Arial"/>
          <w:sz w:val="20"/>
          <w:szCs w:val="20"/>
        </w:rPr>
        <w:t xml:space="preserve"> at least one count of</w:t>
      </w:r>
      <w:r w:rsidRPr="00F62AD6">
        <w:rPr>
          <w:rFonts w:ascii="Arial" w:hAnsi="Arial" w:cs="Arial"/>
          <w:sz w:val="20"/>
          <w:szCs w:val="20"/>
        </w:rPr>
        <w:t xml:space="preserve"> </w:t>
      </w:r>
      <w:r w:rsidR="00716F26" w:rsidRPr="00F62AD6">
        <w:rPr>
          <w:rFonts w:ascii="Arial" w:hAnsi="Arial" w:cs="Arial"/>
          <w:sz w:val="20"/>
          <w:szCs w:val="20"/>
        </w:rPr>
        <w:t>m</w:t>
      </w:r>
      <w:r w:rsidRPr="00F62AD6">
        <w:rPr>
          <w:rFonts w:ascii="Arial" w:hAnsi="Arial" w:cs="Arial"/>
          <w:sz w:val="20"/>
          <w:szCs w:val="20"/>
        </w:rPr>
        <w:t>urder</w:t>
      </w:r>
      <w:r w:rsidR="00A04B5D" w:rsidRPr="00F62AD6">
        <w:rPr>
          <w:rFonts w:ascii="Arial" w:hAnsi="Arial" w:cs="Arial"/>
          <w:sz w:val="20"/>
          <w:szCs w:val="20"/>
        </w:rPr>
        <w:t xml:space="preserve"> </w:t>
      </w:r>
      <w:r w:rsidR="00815D1A" w:rsidRPr="00F62AD6">
        <w:rPr>
          <w:rFonts w:ascii="Arial" w:hAnsi="Arial" w:cs="Arial"/>
          <w:sz w:val="20"/>
          <w:szCs w:val="20"/>
        </w:rPr>
        <w:t>(</w:t>
      </w:r>
      <w:r w:rsidR="00C00DCA" w:rsidRPr="00F62AD6">
        <w:rPr>
          <w:rFonts w:ascii="Arial" w:hAnsi="Arial" w:cs="Arial"/>
          <w:sz w:val="20"/>
          <w:szCs w:val="20"/>
        </w:rPr>
        <w:t>source:</w:t>
      </w:r>
      <w:r w:rsidR="00815D1A" w:rsidRPr="00F62AD6">
        <w:rPr>
          <w:rFonts w:ascii="Arial" w:hAnsi="Arial" w:cs="Arial"/>
          <w:sz w:val="20"/>
          <w:szCs w:val="20"/>
        </w:rPr>
        <w:t xml:space="preserve"> the “</w:t>
      </w:r>
      <w:proofErr w:type="spellStart"/>
      <w:r w:rsidR="00815D1A" w:rsidRPr="00F62AD6">
        <w:rPr>
          <w:rFonts w:ascii="Arial" w:hAnsi="Arial" w:cs="Arial"/>
          <w:sz w:val="20"/>
          <w:szCs w:val="20"/>
        </w:rPr>
        <w:t>n_defendants_offence_x</w:t>
      </w:r>
      <w:proofErr w:type="spellEnd"/>
      <w:r w:rsidR="00815D1A" w:rsidRPr="00F62AD6">
        <w:rPr>
          <w:rFonts w:ascii="Arial" w:hAnsi="Arial" w:cs="Arial"/>
          <w:sz w:val="20"/>
          <w:szCs w:val="20"/>
        </w:rPr>
        <w:t>” column of the</w:t>
      </w:r>
      <w:r w:rsidR="00AC4F9A" w:rsidRPr="00F62AD6">
        <w:rPr>
          <w:rFonts w:ascii="Arial" w:hAnsi="Arial" w:cs="Arial"/>
          <w:sz w:val="20"/>
          <w:szCs w:val="20"/>
        </w:rPr>
        <w:t xml:space="preserve"> ‘Defendants prosecuted for combinations of offences’ CSV</w:t>
      </w:r>
      <w:r w:rsidR="00815D1A" w:rsidRPr="00F62AD6">
        <w:rPr>
          <w:rFonts w:ascii="Arial" w:hAnsi="Arial" w:cs="Arial"/>
          <w:sz w:val="20"/>
          <w:szCs w:val="20"/>
        </w:rPr>
        <w:t>)</w:t>
      </w:r>
      <w:r w:rsidR="00716F26" w:rsidRPr="00F62AD6">
        <w:rPr>
          <w:rFonts w:ascii="Arial" w:hAnsi="Arial" w:cs="Arial"/>
          <w:sz w:val="20"/>
          <w:szCs w:val="20"/>
        </w:rPr>
        <w:t xml:space="preserve">. </w:t>
      </w:r>
      <w:r w:rsidR="00F87222" w:rsidRPr="00F62AD6">
        <w:rPr>
          <w:rFonts w:ascii="Arial" w:hAnsi="Arial" w:cs="Arial"/>
          <w:sz w:val="20"/>
          <w:szCs w:val="20"/>
        </w:rPr>
        <w:t xml:space="preserve">This ‘defendant </w:t>
      </w:r>
      <w:proofErr w:type="spellStart"/>
      <w:r w:rsidR="00F87222" w:rsidRPr="00F62AD6">
        <w:rPr>
          <w:rFonts w:ascii="Arial" w:hAnsi="Arial" w:cs="Arial"/>
          <w:sz w:val="20"/>
          <w:szCs w:val="20"/>
        </w:rPr>
        <w:t>basis’</w:t>
      </w:r>
      <w:proofErr w:type="spellEnd"/>
      <w:r w:rsidR="00F87222" w:rsidRPr="00F62AD6">
        <w:rPr>
          <w:rFonts w:ascii="Arial" w:hAnsi="Arial" w:cs="Arial"/>
          <w:sz w:val="20"/>
          <w:szCs w:val="20"/>
        </w:rPr>
        <w:t xml:space="preserve"> figure is higher because it includes defendants for whom another offence was the principal offence for which they were prosecuted</w:t>
      </w:r>
      <w:r w:rsidR="00F87222" w:rsidRPr="00F62AD6">
        <w:rPr>
          <w:rStyle w:val="FootnoteReference"/>
          <w:rFonts w:ascii="Arial" w:hAnsi="Arial" w:cs="Arial"/>
          <w:sz w:val="20"/>
          <w:szCs w:val="20"/>
        </w:rPr>
        <w:footnoteReference w:id="4"/>
      </w:r>
    </w:p>
    <w:p w14:paraId="50D3001F" w14:textId="0C2149DE" w:rsidR="00A04B5D" w:rsidRPr="00F62AD6" w:rsidRDefault="00CC5814" w:rsidP="00A324EB">
      <w:pPr>
        <w:pStyle w:val="ListParagraph"/>
        <w:numPr>
          <w:ilvl w:val="0"/>
          <w:numId w:val="26"/>
        </w:numPr>
        <w:rPr>
          <w:rFonts w:ascii="Arial" w:hAnsi="Arial" w:cs="Arial"/>
          <w:sz w:val="20"/>
          <w:szCs w:val="20"/>
        </w:rPr>
      </w:pPr>
      <w:r w:rsidRPr="00F62AD6">
        <w:rPr>
          <w:rFonts w:ascii="Arial" w:hAnsi="Arial" w:cs="Arial"/>
          <w:sz w:val="20"/>
          <w:szCs w:val="20"/>
        </w:rPr>
        <w:t xml:space="preserve">Defendants were prosecuted for </w:t>
      </w:r>
      <w:r w:rsidR="00716F26" w:rsidRPr="00F62AD6">
        <w:rPr>
          <w:rFonts w:ascii="Arial" w:hAnsi="Arial" w:cs="Arial"/>
          <w:sz w:val="20"/>
          <w:szCs w:val="20"/>
        </w:rPr>
        <w:t xml:space="preserve">a total of </w:t>
      </w:r>
      <w:r w:rsidRPr="00F62AD6">
        <w:rPr>
          <w:rFonts w:ascii="Arial" w:hAnsi="Arial" w:cs="Arial"/>
          <w:sz w:val="20"/>
          <w:szCs w:val="20"/>
        </w:rPr>
        <w:t xml:space="preserve">681 counts of </w:t>
      </w:r>
      <w:r w:rsidR="00716F26" w:rsidRPr="00F62AD6">
        <w:rPr>
          <w:rFonts w:ascii="Arial" w:hAnsi="Arial" w:cs="Arial"/>
          <w:sz w:val="20"/>
          <w:szCs w:val="20"/>
        </w:rPr>
        <w:t>m</w:t>
      </w:r>
      <w:r w:rsidRPr="00F62AD6">
        <w:rPr>
          <w:rFonts w:ascii="Arial" w:hAnsi="Arial" w:cs="Arial"/>
          <w:sz w:val="20"/>
          <w:szCs w:val="20"/>
        </w:rPr>
        <w:t xml:space="preserve">urder </w:t>
      </w:r>
      <w:r w:rsidR="00815D1A" w:rsidRPr="00F62AD6">
        <w:rPr>
          <w:rFonts w:ascii="Arial" w:hAnsi="Arial" w:cs="Arial"/>
          <w:sz w:val="20"/>
          <w:szCs w:val="20"/>
        </w:rPr>
        <w:t>(</w:t>
      </w:r>
      <w:r w:rsidR="00C00DCA" w:rsidRPr="00F62AD6">
        <w:rPr>
          <w:rFonts w:ascii="Arial" w:hAnsi="Arial" w:cs="Arial"/>
          <w:sz w:val="20"/>
          <w:szCs w:val="20"/>
        </w:rPr>
        <w:t>source:</w:t>
      </w:r>
      <w:r w:rsidR="00815D1A" w:rsidRPr="00F62AD6">
        <w:rPr>
          <w:rFonts w:ascii="Arial" w:hAnsi="Arial" w:cs="Arial"/>
          <w:sz w:val="20"/>
          <w:szCs w:val="20"/>
        </w:rPr>
        <w:t xml:space="preserve"> All offence prosecutions and convictions by </w:t>
      </w:r>
      <w:proofErr w:type="gramStart"/>
      <w:r w:rsidR="00815D1A" w:rsidRPr="00F62AD6">
        <w:rPr>
          <w:rFonts w:ascii="Arial" w:hAnsi="Arial" w:cs="Arial"/>
          <w:sz w:val="20"/>
          <w:szCs w:val="20"/>
        </w:rPr>
        <w:t>Home</w:t>
      </w:r>
      <w:proofErr w:type="gramEnd"/>
      <w:r w:rsidR="00815D1A" w:rsidRPr="00F62AD6">
        <w:rPr>
          <w:rFonts w:ascii="Arial" w:hAnsi="Arial" w:cs="Arial"/>
          <w:sz w:val="20"/>
          <w:szCs w:val="20"/>
        </w:rPr>
        <w:t xml:space="preserve"> Office offence code’ tool)</w:t>
      </w:r>
      <w:r w:rsidR="00F87222" w:rsidRPr="00F62AD6">
        <w:rPr>
          <w:rFonts w:ascii="Arial" w:hAnsi="Arial" w:cs="Arial"/>
          <w:sz w:val="20"/>
          <w:szCs w:val="20"/>
        </w:rPr>
        <w:t xml:space="preserve">.  This ‘all offence’ figure is higher because some defendants were prosecuted for </w:t>
      </w:r>
      <w:r w:rsidR="00C00DCA" w:rsidRPr="00F62AD6">
        <w:rPr>
          <w:rFonts w:ascii="Arial" w:hAnsi="Arial" w:cs="Arial"/>
          <w:sz w:val="20"/>
          <w:szCs w:val="20"/>
        </w:rPr>
        <w:t>multiple</w:t>
      </w:r>
      <w:r w:rsidR="00F87222" w:rsidRPr="00F62AD6">
        <w:rPr>
          <w:rFonts w:ascii="Arial" w:hAnsi="Arial" w:cs="Arial"/>
          <w:sz w:val="20"/>
          <w:szCs w:val="20"/>
        </w:rPr>
        <w:t xml:space="preserve"> </w:t>
      </w:r>
      <w:r w:rsidR="00C00DCA" w:rsidRPr="00F62AD6">
        <w:rPr>
          <w:rFonts w:ascii="Arial" w:hAnsi="Arial" w:cs="Arial"/>
          <w:sz w:val="20"/>
          <w:szCs w:val="20"/>
        </w:rPr>
        <w:t>counts of</w:t>
      </w:r>
      <w:r w:rsidR="00F87222" w:rsidRPr="00F62AD6">
        <w:rPr>
          <w:rFonts w:ascii="Arial" w:hAnsi="Arial" w:cs="Arial"/>
          <w:sz w:val="20"/>
          <w:szCs w:val="20"/>
        </w:rPr>
        <w:t xml:space="preserve"> murder.</w:t>
      </w:r>
    </w:p>
    <w:p w14:paraId="405868C8" w14:textId="77777777" w:rsidR="00F15E65" w:rsidRDefault="00F15E65">
      <w:pPr>
        <w:rPr>
          <w:rFonts w:ascii="Arial" w:hAnsi="Arial" w:cs="Arial"/>
          <w:sz w:val="20"/>
          <w:szCs w:val="20"/>
          <w:u w:val="single"/>
        </w:rPr>
      </w:pPr>
      <w:r>
        <w:rPr>
          <w:rFonts w:ascii="Arial" w:hAnsi="Arial" w:cs="Arial"/>
          <w:sz w:val="20"/>
          <w:szCs w:val="20"/>
          <w:u w:val="single"/>
        </w:rPr>
        <w:br w:type="page"/>
      </w:r>
    </w:p>
    <w:p w14:paraId="191BA7B7" w14:textId="56ACDAF2" w:rsidR="00F87222" w:rsidRPr="00F62AD6" w:rsidRDefault="000477E6" w:rsidP="00F87222">
      <w:pPr>
        <w:rPr>
          <w:rFonts w:ascii="Arial" w:hAnsi="Arial" w:cs="Arial"/>
          <w:sz w:val="20"/>
          <w:szCs w:val="20"/>
          <w:u w:val="single"/>
        </w:rPr>
      </w:pPr>
      <w:r w:rsidRPr="00F62AD6">
        <w:rPr>
          <w:rFonts w:ascii="Arial" w:hAnsi="Arial" w:cs="Arial"/>
          <w:sz w:val="20"/>
          <w:szCs w:val="20"/>
          <w:u w:val="single"/>
        </w:rPr>
        <w:lastRenderedPageBreak/>
        <w:t xml:space="preserve">Comparison with ‘Prosecutions for non-principal offences, by principal offence’ </w:t>
      </w:r>
      <w:r w:rsidR="00123420" w:rsidRPr="00F62AD6">
        <w:rPr>
          <w:rFonts w:ascii="Arial" w:hAnsi="Arial" w:cs="Arial"/>
          <w:sz w:val="20"/>
          <w:szCs w:val="20"/>
          <w:u w:val="single"/>
        </w:rPr>
        <w:t>published</w:t>
      </w:r>
      <w:r w:rsidR="00C00B36" w:rsidRPr="00F62AD6">
        <w:rPr>
          <w:rFonts w:ascii="Arial" w:hAnsi="Arial" w:cs="Arial"/>
          <w:sz w:val="20"/>
          <w:szCs w:val="20"/>
          <w:u w:val="single"/>
        </w:rPr>
        <w:t xml:space="preserve"> May 2018</w:t>
      </w:r>
      <w:r w:rsidR="00123420" w:rsidRPr="00F62AD6">
        <w:rPr>
          <w:rFonts w:ascii="Arial" w:hAnsi="Arial" w:cs="Arial"/>
          <w:sz w:val="20"/>
          <w:szCs w:val="20"/>
          <w:u w:val="single"/>
        </w:rPr>
        <w:t xml:space="preserve"> </w:t>
      </w:r>
    </w:p>
    <w:bookmarkEnd w:id="4"/>
    <w:p w14:paraId="1E2DA761" w14:textId="2C6F2707" w:rsidR="00947551" w:rsidRPr="00F62AD6" w:rsidRDefault="00A82682">
      <w:pPr>
        <w:rPr>
          <w:rFonts w:ascii="Arial" w:hAnsi="Arial" w:cs="Arial"/>
          <w:sz w:val="20"/>
          <w:szCs w:val="20"/>
        </w:rPr>
      </w:pPr>
      <w:r w:rsidRPr="00F62AD6">
        <w:rPr>
          <w:rFonts w:ascii="Arial" w:hAnsi="Arial" w:cs="Arial"/>
          <w:sz w:val="20"/>
          <w:szCs w:val="20"/>
        </w:rPr>
        <w:t>In May 2018</w:t>
      </w:r>
      <w:r w:rsidR="004B01C8" w:rsidRPr="00F62AD6">
        <w:rPr>
          <w:rFonts w:ascii="Arial" w:hAnsi="Arial" w:cs="Arial"/>
          <w:sz w:val="20"/>
          <w:szCs w:val="20"/>
        </w:rPr>
        <w:t>, we published</w:t>
      </w:r>
      <w:r w:rsidR="00A6276A" w:rsidRPr="00F62AD6">
        <w:rPr>
          <w:rFonts w:ascii="Arial" w:hAnsi="Arial" w:cs="Arial"/>
          <w:sz w:val="20"/>
          <w:szCs w:val="20"/>
        </w:rPr>
        <w:t xml:space="preserve"> ‘Prosecutions for non-principal offences, by principal offence’ CSV</w:t>
      </w:r>
      <w:r w:rsidR="00947551" w:rsidRPr="00F62AD6">
        <w:rPr>
          <w:rFonts w:ascii="Arial" w:hAnsi="Arial" w:cs="Arial"/>
          <w:sz w:val="20"/>
          <w:szCs w:val="20"/>
        </w:rPr>
        <w:t xml:space="preserve"> </w:t>
      </w:r>
      <w:r w:rsidR="004B01C8" w:rsidRPr="00F62AD6">
        <w:rPr>
          <w:rFonts w:ascii="Arial" w:hAnsi="Arial" w:cs="Arial"/>
          <w:sz w:val="20"/>
          <w:szCs w:val="20"/>
        </w:rPr>
        <w:t>as part of</w:t>
      </w:r>
      <w:r w:rsidR="00A6276A" w:rsidRPr="00F62AD6">
        <w:rPr>
          <w:rFonts w:ascii="Arial" w:hAnsi="Arial" w:cs="Arial"/>
          <w:sz w:val="20"/>
          <w:szCs w:val="20"/>
        </w:rPr>
        <w:t xml:space="preserve"> the ‘Criminal Justice System statistics quarterly: December 2017’ publication</w:t>
      </w:r>
      <w:r w:rsidR="004B01C8" w:rsidRPr="00F62AD6">
        <w:rPr>
          <w:rFonts w:ascii="Arial" w:hAnsi="Arial" w:cs="Arial"/>
          <w:sz w:val="20"/>
          <w:szCs w:val="20"/>
        </w:rPr>
        <w:t>. T</w:t>
      </w:r>
      <w:r w:rsidR="00A6276A" w:rsidRPr="00F62AD6">
        <w:rPr>
          <w:rFonts w:ascii="Arial" w:hAnsi="Arial" w:cs="Arial"/>
          <w:sz w:val="20"/>
          <w:szCs w:val="20"/>
        </w:rPr>
        <w:t xml:space="preserve">he </w:t>
      </w:r>
      <w:r w:rsidR="00947551" w:rsidRPr="00F62AD6">
        <w:rPr>
          <w:rFonts w:ascii="Arial" w:hAnsi="Arial" w:cs="Arial"/>
          <w:sz w:val="20"/>
          <w:szCs w:val="20"/>
        </w:rPr>
        <w:t xml:space="preserve">‘Defendants prosecuted for combinations of offences’ </w:t>
      </w:r>
      <w:r w:rsidR="00C00DCA" w:rsidRPr="00F62AD6">
        <w:rPr>
          <w:rFonts w:ascii="Arial" w:hAnsi="Arial" w:cs="Arial"/>
          <w:sz w:val="20"/>
          <w:szCs w:val="20"/>
        </w:rPr>
        <w:t>CSV</w:t>
      </w:r>
      <w:r w:rsidR="00A6276A" w:rsidRPr="00F62AD6">
        <w:rPr>
          <w:rFonts w:ascii="Arial" w:hAnsi="Arial" w:cs="Arial"/>
          <w:sz w:val="20"/>
          <w:szCs w:val="20"/>
        </w:rPr>
        <w:t xml:space="preserve"> accompanying this file </w:t>
      </w:r>
      <w:r w:rsidR="004B01C8" w:rsidRPr="00F62AD6">
        <w:rPr>
          <w:rFonts w:ascii="Arial" w:hAnsi="Arial" w:cs="Arial"/>
          <w:sz w:val="20"/>
          <w:szCs w:val="20"/>
        </w:rPr>
        <w:t xml:space="preserve">builds on that and </w:t>
      </w:r>
      <w:r w:rsidRPr="00F62AD6">
        <w:rPr>
          <w:rFonts w:ascii="Arial" w:hAnsi="Arial" w:cs="Arial"/>
          <w:sz w:val="20"/>
          <w:szCs w:val="20"/>
        </w:rPr>
        <w:t>presents data on a different basis to</w:t>
      </w:r>
      <w:r w:rsidR="004B01C8" w:rsidRPr="00F62AD6">
        <w:rPr>
          <w:rFonts w:ascii="Arial" w:hAnsi="Arial" w:cs="Arial"/>
          <w:sz w:val="20"/>
          <w:szCs w:val="20"/>
        </w:rPr>
        <w:t xml:space="preserve"> offer a slightly different interpretation of patterns of offending.  B</w:t>
      </w:r>
      <w:r w:rsidR="00823FAF" w:rsidRPr="00F62AD6">
        <w:rPr>
          <w:rFonts w:ascii="Arial" w:hAnsi="Arial" w:cs="Arial"/>
          <w:sz w:val="20"/>
          <w:szCs w:val="20"/>
        </w:rPr>
        <w:t xml:space="preserve">oth </w:t>
      </w:r>
      <w:r w:rsidR="00C00DCA" w:rsidRPr="00F62AD6">
        <w:rPr>
          <w:rFonts w:ascii="Arial" w:hAnsi="Arial" w:cs="Arial"/>
          <w:sz w:val="20"/>
          <w:szCs w:val="20"/>
        </w:rPr>
        <w:t xml:space="preserve">use different methods to </w:t>
      </w:r>
      <w:r w:rsidR="00A6276A" w:rsidRPr="00F62AD6">
        <w:rPr>
          <w:rFonts w:ascii="Arial" w:hAnsi="Arial" w:cs="Arial"/>
          <w:sz w:val="20"/>
          <w:szCs w:val="20"/>
        </w:rPr>
        <w:t xml:space="preserve">offer insight into patterns of </w:t>
      </w:r>
      <w:r w:rsidR="00C00DCA" w:rsidRPr="00F62AD6">
        <w:rPr>
          <w:rFonts w:ascii="Arial" w:hAnsi="Arial" w:cs="Arial"/>
          <w:sz w:val="20"/>
          <w:szCs w:val="20"/>
        </w:rPr>
        <w:t>types of offences for which defendants are prosecuted</w:t>
      </w:r>
      <w:r w:rsidR="00C00DCA" w:rsidRPr="00F62AD6" w:rsidDel="00C00DCA">
        <w:rPr>
          <w:rFonts w:ascii="Arial" w:hAnsi="Arial" w:cs="Arial"/>
          <w:sz w:val="20"/>
          <w:szCs w:val="20"/>
        </w:rPr>
        <w:t xml:space="preserve"> </w:t>
      </w:r>
      <w:r w:rsidR="00A6276A" w:rsidRPr="00F62AD6">
        <w:rPr>
          <w:rFonts w:ascii="Arial" w:hAnsi="Arial" w:cs="Arial"/>
          <w:sz w:val="20"/>
          <w:szCs w:val="20"/>
        </w:rPr>
        <w:t>and associated offences</w:t>
      </w:r>
      <w:r w:rsidR="00823FAF" w:rsidRPr="00F62AD6">
        <w:rPr>
          <w:rFonts w:ascii="Arial" w:hAnsi="Arial" w:cs="Arial"/>
          <w:sz w:val="20"/>
          <w:szCs w:val="20"/>
        </w:rPr>
        <w:t>.</w:t>
      </w:r>
      <w:r w:rsidR="00C00B36" w:rsidRPr="00F62AD6">
        <w:rPr>
          <w:rFonts w:ascii="Arial" w:hAnsi="Arial" w:cs="Arial"/>
          <w:sz w:val="20"/>
          <w:szCs w:val="20"/>
        </w:rPr>
        <w:t xml:space="preserve"> Both methods are valid and have different strengths and limitations. </w:t>
      </w:r>
      <w:r w:rsidR="00947551" w:rsidRPr="00F62AD6">
        <w:rPr>
          <w:rFonts w:ascii="Arial" w:hAnsi="Arial" w:cs="Arial"/>
          <w:sz w:val="20"/>
          <w:szCs w:val="20"/>
        </w:rPr>
        <w:t>The key differences between these methods are</w:t>
      </w:r>
      <w:r w:rsidR="00815D1A" w:rsidRPr="00F62AD6">
        <w:rPr>
          <w:rFonts w:ascii="Arial" w:hAnsi="Arial" w:cs="Arial"/>
          <w:sz w:val="20"/>
          <w:szCs w:val="20"/>
        </w:rPr>
        <w:t xml:space="preserve"> outlined in Table 2.</w:t>
      </w:r>
    </w:p>
    <w:p w14:paraId="5F2AC540" w14:textId="741B7CBF" w:rsidR="00F36CDC" w:rsidRPr="00F62AD6" w:rsidRDefault="005966B9" w:rsidP="004E44B0">
      <w:pPr>
        <w:rPr>
          <w:rFonts w:ascii="Arial" w:hAnsi="Arial" w:cs="Arial"/>
          <w:b/>
          <w:sz w:val="20"/>
          <w:szCs w:val="20"/>
        </w:rPr>
      </w:pPr>
      <w:r w:rsidRPr="00F62AD6">
        <w:rPr>
          <w:rFonts w:ascii="Arial" w:hAnsi="Arial" w:cs="Arial"/>
          <w:b/>
          <w:sz w:val="20"/>
          <w:szCs w:val="20"/>
        </w:rPr>
        <w:t xml:space="preserve">Table 2: differences between </w:t>
      </w:r>
      <w:r w:rsidR="00C00B36" w:rsidRPr="00F62AD6">
        <w:rPr>
          <w:rFonts w:ascii="Arial" w:hAnsi="Arial" w:cs="Arial"/>
          <w:b/>
          <w:sz w:val="20"/>
          <w:szCs w:val="20"/>
        </w:rPr>
        <w:t>products</w:t>
      </w:r>
    </w:p>
    <w:tbl>
      <w:tblPr>
        <w:tblStyle w:val="TableGrid"/>
        <w:tblW w:w="9634" w:type="dxa"/>
        <w:tblLook w:val="04A0" w:firstRow="1" w:lastRow="0" w:firstColumn="1" w:lastColumn="0" w:noHBand="0" w:noVBand="1"/>
      </w:tblPr>
      <w:tblGrid>
        <w:gridCol w:w="2072"/>
        <w:gridCol w:w="2447"/>
        <w:gridCol w:w="2256"/>
        <w:gridCol w:w="2859"/>
      </w:tblGrid>
      <w:tr w:rsidR="00F36CDC" w:rsidRPr="00F62AD6" w14:paraId="7D39C46F" w14:textId="31CF53C8" w:rsidTr="00A324EB">
        <w:tc>
          <w:tcPr>
            <w:tcW w:w="2072" w:type="dxa"/>
          </w:tcPr>
          <w:p w14:paraId="4984E9C2" w14:textId="77777777" w:rsidR="00C00B36" w:rsidRPr="00F62AD6" w:rsidRDefault="00F36CDC" w:rsidP="004E44B0">
            <w:pPr>
              <w:rPr>
                <w:rFonts w:ascii="Arial" w:hAnsi="Arial" w:cs="Arial"/>
                <w:b/>
                <w:sz w:val="20"/>
                <w:szCs w:val="20"/>
              </w:rPr>
            </w:pPr>
            <w:r w:rsidRPr="00F62AD6">
              <w:rPr>
                <w:rFonts w:ascii="Arial" w:hAnsi="Arial" w:cs="Arial"/>
                <w:b/>
                <w:sz w:val="20"/>
                <w:szCs w:val="20"/>
              </w:rPr>
              <w:t>Product</w:t>
            </w:r>
            <w:r w:rsidR="00C00B36" w:rsidRPr="00F62AD6">
              <w:rPr>
                <w:rFonts w:ascii="Arial" w:hAnsi="Arial" w:cs="Arial"/>
                <w:b/>
                <w:sz w:val="20"/>
                <w:szCs w:val="20"/>
              </w:rPr>
              <w:t xml:space="preserve"> </w:t>
            </w:r>
          </w:p>
          <w:p w14:paraId="6522C66C" w14:textId="77777777" w:rsidR="00C00B36" w:rsidRPr="00F62AD6" w:rsidRDefault="00C00B36" w:rsidP="004E44B0">
            <w:pPr>
              <w:rPr>
                <w:rFonts w:ascii="Arial" w:hAnsi="Arial" w:cs="Arial"/>
                <w:b/>
                <w:sz w:val="20"/>
                <w:szCs w:val="20"/>
              </w:rPr>
            </w:pPr>
          </w:p>
          <w:p w14:paraId="29B9249E" w14:textId="3FB12E73" w:rsidR="00C00B36" w:rsidRPr="00F62AD6" w:rsidRDefault="00C00B36" w:rsidP="004E44B0">
            <w:pPr>
              <w:rPr>
                <w:rFonts w:ascii="Arial" w:hAnsi="Arial" w:cs="Arial"/>
                <w:b/>
                <w:sz w:val="20"/>
                <w:szCs w:val="20"/>
              </w:rPr>
            </w:pPr>
          </w:p>
        </w:tc>
        <w:tc>
          <w:tcPr>
            <w:tcW w:w="2447" w:type="dxa"/>
          </w:tcPr>
          <w:p w14:paraId="3EBE91DF" w14:textId="0FD18644" w:rsidR="00C00DCA" w:rsidRPr="00F62AD6" w:rsidRDefault="00C00DCA" w:rsidP="004E44B0">
            <w:pPr>
              <w:rPr>
                <w:rFonts w:ascii="Arial" w:hAnsi="Arial" w:cs="Arial"/>
                <w:b/>
                <w:sz w:val="20"/>
                <w:szCs w:val="20"/>
              </w:rPr>
            </w:pPr>
            <w:r w:rsidRPr="00F62AD6">
              <w:rPr>
                <w:rFonts w:ascii="Arial" w:hAnsi="Arial" w:cs="Arial"/>
                <w:b/>
                <w:sz w:val="20"/>
                <w:szCs w:val="20"/>
              </w:rPr>
              <w:t>Defendants prosecuted for combinations of offences</w:t>
            </w:r>
            <w:r w:rsidR="00F36CDC" w:rsidRPr="00F62AD6">
              <w:rPr>
                <w:rFonts w:ascii="Arial" w:hAnsi="Arial" w:cs="Arial"/>
                <w:b/>
                <w:sz w:val="20"/>
                <w:szCs w:val="20"/>
              </w:rPr>
              <w:t xml:space="preserve"> </w:t>
            </w:r>
          </w:p>
        </w:tc>
        <w:tc>
          <w:tcPr>
            <w:tcW w:w="2256" w:type="dxa"/>
          </w:tcPr>
          <w:p w14:paraId="2FEEF500" w14:textId="1431A69A" w:rsidR="00C00DCA" w:rsidRPr="00F62AD6" w:rsidRDefault="00C00DCA" w:rsidP="004E44B0">
            <w:pPr>
              <w:rPr>
                <w:rFonts w:ascii="Arial" w:hAnsi="Arial" w:cs="Arial"/>
                <w:b/>
                <w:sz w:val="20"/>
                <w:szCs w:val="20"/>
              </w:rPr>
            </w:pPr>
            <w:r w:rsidRPr="00F62AD6">
              <w:rPr>
                <w:rFonts w:ascii="Arial" w:hAnsi="Arial" w:cs="Arial"/>
                <w:b/>
                <w:sz w:val="20"/>
                <w:szCs w:val="20"/>
              </w:rPr>
              <w:t xml:space="preserve">Prosecutions for non-principal </w:t>
            </w:r>
            <w:r w:rsidR="00DA3056" w:rsidRPr="00F62AD6">
              <w:rPr>
                <w:rFonts w:ascii="Arial" w:hAnsi="Arial" w:cs="Arial"/>
                <w:b/>
                <w:sz w:val="20"/>
                <w:szCs w:val="20"/>
              </w:rPr>
              <w:t xml:space="preserve">offences, by principal offence </w:t>
            </w:r>
          </w:p>
        </w:tc>
        <w:tc>
          <w:tcPr>
            <w:tcW w:w="2859" w:type="dxa"/>
          </w:tcPr>
          <w:p w14:paraId="79CDEFC0" w14:textId="72F041B5" w:rsidR="00F36CDC" w:rsidRPr="00F62AD6" w:rsidRDefault="00F36CDC" w:rsidP="004E44B0">
            <w:pPr>
              <w:rPr>
                <w:rFonts w:ascii="Arial" w:hAnsi="Arial" w:cs="Arial"/>
                <w:b/>
                <w:sz w:val="20"/>
                <w:szCs w:val="20"/>
              </w:rPr>
            </w:pPr>
            <w:r w:rsidRPr="00F62AD6">
              <w:rPr>
                <w:rFonts w:ascii="Arial" w:hAnsi="Arial" w:cs="Arial"/>
                <w:b/>
                <w:sz w:val="20"/>
                <w:szCs w:val="20"/>
              </w:rPr>
              <w:t>Reason</w:t>
            </w:r>
            <w:r w:rsidR="005966B9" w:rsidRPr="00F62AD6">
              <w:rPr>
                <w:rFonts w:ascii="Arial" w:hAnsi="Arial" w:cs="Arial"/>
                <w:b/>
                <w:sz w:val="20"/>
                <w:szCs w:val="20"/>
              </w:rPr>
              <w:t xml:space="preserve"> for presenting on defendant-basis</w:t>
            </w:r>
            <w:r w:rsidR="00C00DCA" w:rsidRPr="00F62AD6">
              <w:rPr>
                <w:rFonts w:ascii="Arial" w:hAnsi="Arial" w:cs="Arial"/>
                <w:b/>
                <w:sz w:val="20"/>
                <w:szCs w:val="20"/>
              </w:rPr>
              <w:t xml:space="preserve"> </w:t>
            </w:r>
            <w:r w:rsidR="00150CBA" w:rsidRPr="00F62AD6">
              <w:rPr>
                <w:rFonts w:ascii="Arial" w:hAnsi="Arial" w:cs="Arial"/>
                <w:b/>
                <w:sz w:val="20"/>
                <w:szCs w:val="20"/>
              </w:rPr>
              <w:t xml:space="preserve">as of </w:t>
            </w:r>
            <w:r w:rsidR="008A47A4" w:rsidRPr="00F62AD6">
              <w:rPr>
                <w:rFonts w:ascii="Arial" w:hAnsi="Arial" w:cs="Arial"/>
                <w:b/>
                <w:sz w:val="20"/>
                <w:szCs w:val="20"/>
              </w:rPr>
              <w:t>May 2019</w:t>
            </w:r>
          </w:p>
        </w:tc>
      </w:tr>
      <w:tr w:rsidR="005A6846" w:rsidRPr="00F62AD6" w14:paraId="260FE8C6" w14:textId="77777777" w:rsidTr="00A324EB">
        <w:tc>
          <w:tcPr>
            <w:tcW w:w="2072" w:type="dxa"/>
          </w:tcPr>
          <w:p w14:paraId="1A6CA693" w14:textId="4F1A3A07" w:rsidR="005A6846" w:rsidRPr="00F62AD6" w:rsidRDefault="005A6846" w:rsidP="004E44B0">
            <w:pPr>
              <w:rPr>
                <w:rFonts w:ascii="Arial" w:hAnsi="Arial" w:cs="Arial"/>
                <w:b/>
                <w:sz w:val="20"/>
                <w:szCs w:val="20"/>
              </w:rPr>
            </w:pPr>
            <w:r w:rsidRPr="00F62AD6">
              <w:rPr>
                <w:rFonts w:ascii="Arial" w:hAnsi="Arial" w:cs="Arial"/>
                <w:b/>
                <w:sz w:val="20"/>
                <w:szCs w:val="20"/>
              </w:rPr>
              <w:t>First published:</w:t>
            </w:r>
          </w:p>
        </w:tc>
        <w:tc>
          <w:tcPr>
            <w:tcW w:w="2447" w:type="dxa"/>
          </w:tcPr>
          <w:p w14:paraId="553F062E" w14:textId="74896BFA" w:rsidR="005A6846" w:rsidRPr="00F62AD6" w:rsidRDefault="005A6846" w:rsidP="004E44B0">
            <w:pPr>
              <w:rPr>
                <w:rFonts w:ascii="Arial" w:hAnsi="Arial" w:cs="Arial"/>
                <w:sz w:val="20"/>
                <w:szCs w:val="20"/>
              </w:rPr>
            </w:pPr>
            <w:r w:rsidRPr="00F62AD6">
              <w:rPr>
                <w:rFonts w:ascii="Arial" w:hAnsi="Arial" w:cs="Arial"/>
                <w:sz w:val="20"/>
                <w:szCs w:val="20"/>
              </w:rPr>
              <w:t>Published May 2019</w:t>
            </w:r>
          </w:p>
        </w:tc>
        <w:tc>
          <w:tcPr>
            <w:tcW w:w="2256" w:type="dxa"/>
          </w:tcPr>
          <w:p w14:paraId="6DDCF610" w14:textId="49845C10" w:rsidR="005A6846" w:rsidRPr="00F62AD6" w:rsidRDefault="005A6846" w:rsidP="004E44B0">
            <w:pPr>
              <w:rPr>
                <w:rFonts w:ascii="Arial" w:hAnsi="Arial" w:cs="Arial"/>
                <w:sz w:val="20"/>
                <w:szCs w:val="20"/>
              </w:rPr>
            </w:pPr>
            <w:r w:rsidRPr="00F62AD6">
              <w:rPr>
                <w:rFonts w:ascii="Arial" w:hAnsi="Arial" w:cs="Arial"/>
                <w:sz w:val="20"/>
                <w:szCs w:val="20"/>
              </w:rPr>
              <w:t>Published May 2018</w:t>
            </w:r>
          </w:p>
        </w:tc>
        <w:tc>
          <w:tcPr>
            <w:tcW w:w="2859" w:type="dxa"/>
          </w:tcPr>
          <w:p w14:paraId="50D8BE78" w14:textId="77777777" w:rsidR="005A6846" w:rsidRPr="00F62AD6" w:rsidRDefault="005A6846" w:rsidP="004E44B0">
            <w:pPr>
              <w:rPr>
                <w:rFonts w:ascii="Arial" w:hAnsi="Arial" w:cs="Arial"/>
                <w:b/>
                <w:sz w:val="20"/>
                <w:szCs w:val="20"/>
              </w:rPr>
            </w:pPr>
          </w:p>
        </w:tc>
      </w:tr>
      <w:tr w:rsidR="005A6846" w:rsidRPr="00F62AD6" w14:paraId="2BD7ECD3" w14:textId="77777777" w:rsidTr="00A324EB">
        <w:tc>
          <w:tcPr>
            <w:tcW w:w="2072" w:type="dxa"/>
          </w:tcPr>
          <w:p w14:paraId="6FDF3339" w14:textId="0B4FD177" w:rsidR="005A6846" w:rsidRPr="00F62AD6" w:rsidRDefault="005A6846" w:rsidP="004E44B0">
            <w:pPr>
              <w:rPr>
                <w:rFonts w:ascii="Arial" w:hAnsi="Arial" w:cs="Arial"/>
                <w:b/>
                <w:sz w:val="20"/>
                <w:szCs w:val="20"/>
              </w:rPr>
            </w:pPr>
            <w:r w:rsidRPr="00F62AD6">
              <w:rPr>
                <w:rFonts w:ascii="Arial" w:hAnsi="Arial" w:cs="Arial"/>
                <w:b/>
                <w:sz w:val="20"/>
                <w:szCs w:val="20"/>
              </w:rPr>
              <w:t>How does it count…</w:t>
            </w:r>
          </w:p>
        </w:tc>
        <w:tc>
          <w:tcPr>
            <w:tcW w:w="2447" w:type="dxa"/>
          </w:tcPr>
          <w:p w14:paraId="60BCFEA7" w14:textId="1C3FA6EE" w:rsidR="005A6846" w:rsidRPr="00F62AD6" w:rsidRDefault="005A6846" w:rsidP="004E44B0">
            <w:pPr>
              <w:rPr>
                <w:rFonts w:ascii="Arial" w:hAnsi="Arial" w:cs="Arial"/>
                <w:sz w:val="20"/>
                <w:szCs w:val="20"/>
              </w:rPr>
            </w:pPr>
            <w:r w:rsidRPr="00F62AD6">
              <w:rPr>
                <w:rFonts w:ascii="Arial" w:hAnsi="Arial" w:cs="Arial"/>
                <w:sz w:val="20"/>
                <w:szCs w:val="20"/>
              </w:rPr>
              <w:t xml:space="preserve">Counts </w:t>
            </w:r>
            <w:r w:rsidRPr="00F62AD6">
              <w:rPr>
                <w:rFonts w:ascii="Arial" w:hAnsi="Arial" w:cs="Arial"/>
                <w:b/>
                <w:sz w:val="20"/>
                <w:szCs w:val="20"/>
                <w:u w:val="single"/>
              </w:rPr>
              <w:t>defendants</w:t>
            </w:r>
          </w:p>
        </w:tc>
        <w:tc>
          <w:tcPr>
            <w:tcW w:w="2256" w:type="dxa"/>
          </w:tcPr>
          <w:p w14:paraId="4D822AB4" w14:textId="285E3999" w:rsidR="005A6846" w:rsidRPr="00F62AD6" w:rsidRDefault="005A6846" w:rsidP="004E44B0">
            <w:pPr>
              <w:rPr>
                <w:rFonts w:ascii="Arial" w:hAnsi="Arial" w:cs="Arial"/>
                <w:sz w:val="20"/>
                <w:szCs w:val="20"/>
              </w:rPr>
            </w:pPr>
            <w:r w:rsidRPr="00F62AD6">
              <w:rPr>
                <w:rFonts w:ascii="Arial" w:hAnsi="Arial" w:cs="Arial"/>
                <w:sz w:val="20"/>
                <w:szCs w:val="20"/>
              </w:rPr>
              <w:t xml:space="preserve">Counts </w:t>
            </w:r>
            <w:r w:rsidRPr="00F62AD6">
              <w:rPr>
                <w:rFonts w:ascii="Arial" w:hAnsi="Arial" w:cs="Arial"/>
                <w:b/>
                <w:sz w:val="20"/>
                <w:szCs w:val="20"/>
                <w:u w:val="single"/>
              </w:rPr>
              <w:t>offences</w:t>
            </w:r>
          </w:p>
        </w:tc>
        <w:tc>
          <w:tcPr>
            <w:tcW w:w="2859" w:type="dxa"/>
          </w:tcPr>
          <w:p w14:paraId="15AD13A9" w14:textId="77777777" w:rsidR="005A6846" w:rsidRPr="00F62AD6" w:rsidRDefault="005A6846" w:rsidP="004E44B0">
            <w:pPr>
              <w:rPr>
                <w:rFonts w:ascii="Arial" w:hAnsi="Arial" w:cs="Arial"/>
                <w:b/>
                <w:sz w:val="20"/>
                <w:szCs w:val="20"/>
              </w:rPr>
            </w:pPr>
          </w:p>
        </w:tc>
      </w:tr>
      <w:tr w:rsidR="00C00DCA" w:rsidRPr="00F62AD6" w14:paraId="15407726" w14:textId="77777777" w:rsidTr="00A324EB">
        <w:tc>
          <w:tcPr>
            <w:tcW w:w="2072" w:type="dxa"/>
          </w:tcPr>
          <w:p w14:paraId="312E7212" w14:textId="74D7EC5F" w:rsidR="00C00DCA" w:rsidRPr="00F62AD6" w:rsidRDefault="00C00DCA" w:rsidP="00C00DCA">
            <w:pPr>
              <w:rPr>
                <w:rFonts w:ascii="Arial" w:hAnsi="Arial" w:cs="Arial"/>
                <w:sz w:val="20"/>
                <w:szCs w:val="20"/>
              </w:rPr>
            </w:pPr>
            <w:r w:rsidRPr="00F62AD6">
              <w:rPr>
                <w:rFonts w:ascii="Arial" w:hAnsi="Arial" w:cs="Arial"/>
                <w:sz w:val="20"/>
                <w:szCs w:val="20"/>
              </w:rPr>
              <w:t>…a defendant prosecuted for one count of offence x?</w:t>
            </w:r>
          </w:p>
        </w:tc>
        <w:tc>
          <w:tcPr>
            <w:tcW w:w="2447" w:type="dxa"/>
          </w:tcPr>
          <w:p w14:paraId="5DDAF7BA" w14:textId="1A93FE90" w:rsidR="00C00DCA" w:rsidRPr="00F62AD6" w:rsidRDefault="00C00DCA" w:rsidP="00C00DCA">
            <w:pPr>
              <w:rPr>
                <w:rFonts w:ascii="Arial" w:hAnsi="Arial" w:cs="Arial"/>
                <w:sz w:val="20"/>
                <w:szCs w:val="20"/>
              </w:rPr>
            </w:pPr>
            <w:r w:rsidRPr="00F62AD6">
              <w:rPr>
                <w:rFonts w:ascii="Arial" w:hAnsi="Arial" w:cs="Arial"/>
                <w:sz w:val="20"/>
                <w:szCs w:val="20"/>
              </w:rPr>
              <w:t xml:space="preserve">One defendant counted within </w:t>
            </w:r>
            <w:proofErr w:type="spellStart"/>
            <w:r w:rsidRPr="00F62AD6">
              <w:rPr>
                <w:rFonts w:ascii="Arial" w:hAnsi="Arial" w:cs="Arial"/>
                <w:sz w:val="20"/>
                <w:szCs w:val="20"/>
              </w:rPr>
              <w:t>n_defendants_offence_x</w:t>
            </w:r>
            <w:proofErr w:type="spellEnd"/>
          </w:p>
        </w:tc>
        <w:tc>
          <w:tcPr>
            <w:tcW w:w="2256" w:type="dxa"/>
          </w:tcPr>
          <w:p w14:paraId="345E7695" w14:textId="6E9FA3C1" w:rsidR="00C00DCA" w:rsidRPr="00F62AD6" w:rsidRDefault="00C00DCA" w:rsidP="00C00DCA">
            <w:pPr>
              <w:rPr>
                <w:rFonts w:ascii="Arial" w:hAnsi="Arial" w:cs="Arial"/>
                <w:sz w:val="20"/>
                <w:szCs w:val="20"/>
              </w:rPr>
            </w:pPr>
            <w:r w:rsidRPr="00F62AD6">
              <w:rPr>
                <w:rFonts w:ascii="Arial" w:hAnsi="Arial" w:cs="Arial"/>
                <w:sz w:val="20"/>
                <w:szCs w:val="20"/>
              </w:rPr>
              <w:t xml:space="preserve">Not counted – </w:t>
            </w:r>
            <w:r w:rsidR="000A483E" w:rsidRPr="00F62AD6">
              <w:rPr>
                <w:rFonts w:ascii="Arial" w:hAnsi="Arial" w:cs="Arial"/>
                <w:sz w:val="20"/>
                <w:szCs w:val="20"/>
              </w:rPr>
              <w:t xml:space="preserve">only counts </w:t>
            </w:r>
            <w:r w:rsidRPr="00F62AD6">
              <w:rPr>
                <w:rFonts w:ascii="Arial" w:hAnsi="Arial" w:cs="Arial"/>
                <w:sz w:val="20"/>
                <w:szCs w:val="20"/>
              </w:rPr>
              <w:t>non-principal offences</w:t>
            </w:r>
          </w:p>
        </w:tc>
        <w:tc>
          <w:tcPr>
            <w:tcW w:w="2859" w:type="dxa"/>
          </w:tcPr>
          <w:p w14:paraId="26F80E11" w14:textId="780773AE" w:rsidR="00C00DCA" w:rsidRPr="00F62AD6" w:rsidRDefault="00C00DCA" w:rsidP="00C00DCA">
            <w:pPr>
              <w:rPr>
                <w:rFonts w:ascii="Arial" w:hAnsi="Arial" w:cs="Arial"/>
                <w:sz w:val="20"/>
                <w:szCs w:val="20"/>
              </w:rPr>
            </w:pPr>
            <w:r w:rsidRPr="00F62AD6">
              <w:rPr>
                <w:rFonts w:ascii="Arial" w:hAnsi="Arial" w:cs="Arial"/>
                <w:sz w:val="20"/>
                <w:szCs w:val="20"/>
              </w:rPr>
              <w:t>Includes total numbers of defendants prosecuted for each offence</w:t>
            </w:r>
            <w:r w:rsidR="000A483E" w:rsidRPr="00F62AD6">
              <w:rPr>
                <w:rFonts w:ascii="Arial" w:hAnsi="Arial" w:cs="Arial"/>
                <w:sz w:val="20"/>
                <w:szCs w:val="20"/>
              </w:rPr>
              <w:t>, which are on a different basis to the rest of the publication. This is t</w:t>
            </w:r>
            <w:r w:rsidRPr="00F62AD6">
              <w:rPr>
                <w:rFonts w:ascii="Arial" w:hAnsi="Arial" w:cs="Arial"/>
                <w:sz w:val="20"/>
                <w:szCs w:val="20"/>
              </w:rPr>
              <w:t>he first time these have been published</w:t>
            </w:r>
            <w:r w:rsidR="00C00B36" w:rsidRPr="00F62AD6">
              <w:rPr>
                <w:rFonts w:ascii="Arial" w:hAnsi="Arial" w:cs="Arial"/>
                <w:sz w:val="20"/>
                <w:szCs w:val="20"/>
              </w:rPr>
              <w:t xml:space="preserve">, </w:t>
            </w:r>
            <w:r w:rsidR="000A483E" w:rsidRPr="00F62AD6">
              <w:rPr>
                <w:rFonts w:ascii="Arial" w:hAnsi="Arial" w:cs="Arial"/>
                <w:sz w:val="20"/>
                <w:szCs w:val="20"/>
              </w:rPr>
              <w:t>which adds new insight.</w:t>
            </w:r>
          </w:p>
        </w:tc>
      </w:tr>
      <w:tr w:rsidR="00C00DCA" w:rsidRPr="00F62AD6" w14:paraId="2466283F" w14:textId="0D0A98CD" w:rsidTr="00A324EB">
        <w:tc>
          <w:tcPr>
            <w:tcW w:w="2072" w:type="dxa"/>
          </w:tcPr>
          <w:p w14:paraId="119F9D3A" w14:textId="360BED06" w:rsidR="00C00DCA" w:rsidRPr="00F62AD6" w:rsidRDefault="00C00DCA" w:rsidP="00C00DCA">
            <w:pPr>
              <w:rPr>
                <w:rFonts w:ascii="Arial" w:hAnsi="Arial" w:cs="Arial"/>
                <w:sz w:val="20"/>
                <w:szCs w:val="20"/>
              </w:rPr>
            </w:pPr>
            <w:r w:rsidRPr="00F62AD6">
              <w:rPr>
                <w:rFonts w:ascii="Arial" w:hAnsi="Arial" w:cs="Arial"/>
                <w:sz w:val="20"/>
                <w:szCs w:val="20"/>
              </w:rPr>
              <w:t xml:space="preserve">…a defendant prosecuted for multiple counts of </w:t>
            </w:r>
            <w:proofErr w:type="spellStart"/>
            <w:r w:rsidRPr="00F62AD6">
              <w:rPr>
                <w:rFonts w:ascii="Arial" w:hAnsi="Arial" w:cs="Arial"/>
                <w:sz w:val="20"/>
                <w:szCs w:val="20"/>
              </w:rPr>
              <w:t>offence_x</w:t>
            </w:r>
            <w:proofErr w:type="spellEnd"/>
            <w:r w:rsidRPr="00F62AD6">
              <w:rPr>
                <w:rFonts w:ascii="Arial" w:hAnsi="Arial" w:cs="Arial"/>
                <w:sz w:val="20"/>
                <w:szCs w:val="20"/>
              </w:rPr>
              <w:t>?</w:t>
            </w:r>
          </w:p>
        </w:tc>
        <w:tc>
          <w:tcPr>
            <w:tcW w:w="2447" w:type="dxa"/>
          </w:tcPr>
          <w:p w14:paraId="335F806E" w14:textId="0B6F8832" w:rsidR="00C00DCA" w:rsidRPr="00F62AD6" w:rsidRDefault="00C00DCA" w:rsidP="00C00DCA">
            <w:pPr>
              <w:rPr>
                <w:rFonts w:ascii="Arial" w:hAnsi="Arial" w:cs="Arial"/>
                <w:sz w:val="20"/>
                <w:szCs w:val="20"/>
              </w:rPr>
            </w:pPr>
            <w:r w:rsidRPr="00F62AD6">
              <w:rPr>
                <w:rFonts w:ascii="Arial" w:hAnsi="Arial" w:cs="Arial"/>
                <w:sz w:val="20"/>
                <w:szCs w:val="20"/>
              </w:rPr>
              <w:t xml:space="preserve">One defendant counted within </w:t>
            </w:r>
            <w:proofErr w:type="spellStart"/>
            <w:r w:rsidRPr="00F62AD6">
              <w:rPr>
                <w:rFonts w:ascii="Arial" w:hAnsi="Arial" w:cs="Arial"/>
                <w:sz w:val="20"/>
                <w:szCs w:val="20"/>
              </w:rPr>
              <w:t>n_defendants_offence_x</w:t>
            </w:r>
            <w:proofErr w:type="spellEnd"/>
          </w:p>
        </w:tc>
        <w:tc>
          <w:tcPr>
            <w:tcW w:w="2256" w:type="dxa"/>
          </w:tcPr>
          <w:p w14:paraId="71CEC4F0" w14:textId="67256047" w:rsidR="00C00DCA" w:rsidRPr="00F62AD6" w:rsidRDefault="00C00DCA" w:rsidP="00C00DCA">
            <w:pPr>
              <w:rPr>
                <w:rFonts w:ascii="Arial" w:hAnsi="Arial" w:cs="Arial"/>
                <w:sz w:val="20"/>
                <w:szCs w:val="20"/>
              </w:rPr>
            </w:pPr>
            <w:r w:rsidRPr="00F62AD6">
              <w:rPr>
                <w:rFonts w:ascii="Arial" w:hAnsi="Arial" w:cs="Arial"/>
                <w:sz w:val="20"/>
                <w:szCs w:val="20"/>
              </w:rPr>
              <w:t>Multiple non-principal offences counted</w:t>
            </w:r>
          </w:p>
        </w:tc>
        <w:tc>
          <w:tcPr>
            <w:tcW w:w="2859" w:type="dxa"/>
          </w:tcPr>
          <w:p w14:paraId="6A949A48" w14:textId="51BDF857" w:rsidR="00C00DCA" w:rsidRPr="00F62AD6" w:rsidRDefault="00C00DCA" w:rsidP="00C00DCA">
            <w:pPr>
              <w:rPr>
                <w:rFonts w:ascii="Arial" w:hAnsi="Arial" w:cs="Arial"/>
                <w:sz w:val="20"/>
                <w:szCs w:val="20"/>
              </w:rPr>
            </w:pPr>
            <w:r w:rsidRPr="00F62AD6">
              <w:rPr>
                <w:rFonts w:ascii="Arial" w:hAnsi="Arial" w:cs="Arial"/>
                <w:sz w:val="20"/>
                <w:szCs w:val="20"/>
              </w:rPr>
              <w:t>Aids interpretability and brings the statistics more in line with the rest of the bulletin, which is focused on numbers of defendants.</w:t>
            </w:r>
          </w:p>
        </w:tc>
      </w:tr>
      <w:tr w:rsidR="00C00DCA" w:rsidRPr="00F62AD6" w14:paraId="5E9BF20B" w14:textId="61EFA3A1" w:rsidTr="00A324EB">
        <w:tc>
          <w:tcPr>
            <w:tcW w:w="2072" w:type="dxa"/>
          </w:tcPr>
          <w:p w14:paraId="7E22B281" w14:textId="6A093B8F" w:rsidR="00C00DCA" w:rsidRPr="00F62AD6" w:rsidRDefault="00C00DCA" w:rsidP="00C00DCA">
            <w:pPr>
              <w:rPr>
                <w:rFonts w:ascii="Arial" w:hAnsi="Arial" w:cs="Arial"/>
                <w:sz w:val="20"/>
                <w:szCs w:val="20"/>
              </w:rPr>
            </w:pPr>
            <w:r w:rsidRPr="00F62AD6">
              <w:rPr>
                <w:rFonts w:ascii="Arial" w:hAnsi="Arial" w:cs="Arial"/>
                <w:sz w:val="20"/>
                <w:szCs w:val="20"/>
              </w:rPr>
              <w:t>…a defendant prosecuted for offences A (principal offence), B &amp; C (non-principal offences)?</w:t>
            </w:r>
          </w:p>
        </w:tc>
        <w:tc>
          <w:tcPr>
            <w:tcW w:w="2447" w:type="dxa"/>
          </w:tcPr>
          <w:p w14:paraId="1426F2DB" w14:textId="51DE792E" w:rsidR="00C00DCA" w:rsidRPr="00F62AD6" w:rsidRDefault="00C00DCA" w:rsidP="00C00DCA">
            <w:pPr>
              <w:rPr>
                <w:rFonts w:ascii="Arial" w:hAnsi="Arial" w:cs="Arial"/>
                <w:sz w:val="20"/>
                <w:szCs w:val="20"/>
              </w:rPr>
            </w:pPr>
            <w:r w:rsidRPr="00F62AD6">
              <w:rPr>
                <w:rFonts w:ascii="Arial" w:hAnsi="Arial" w:cs="Arial"/>
                <w:sz w:val="20"/>
                <w:szCs w:val="20"/>
              </w:rPr>
              <w:t>Counts the defendant for combinations AB, BC and AC (</w:t>
            </w:r>
            <w:proofErr w:type="gramStart"/>
            <w:r w:rsidRPr="00F62AD6">
              <w:rPr>
                <w:rFonts w:ascii="Arial" w:hAnsi="Arial" w:cs="Arial"/>
                <w:sz w:val="20"/>
                <w:szCs w:val="20"/>
              </w:rPr>
              <w:t>i.e.</w:t>
            </w:r>
            <w:proofErr w:type="gramEnd"/>
            <w:r w:rsidRPr="00F62AD6">
              <w:rPr>
                <w:rFonts w:ascii="Arial" w:hAnsi="Arial" w:cs="Arial"/>
                <w:sz w:val="20"/>
                <w:szCs w:val="20"/>
              </w:rPr>
              <w:t xml:space="preserve"> three times)</w:t>
            </w:r>
          </w:p>
        </w:tc>
        <w:tc>
          <w:tcPr>
            <w:tcW w:w="2256" w:type="dxa"/>
          </w:tcPr>
          <w:p w14:paraId="4CB9E29B" w14:textId="77777777" w:rsidR="00C00DCA" w:rsidRPr="00F62AD6" w:rsidRDefault="00C00DCA" w:rsidP="00C00DCA">
            <w:pPr>
              <w:rPr>
                <w:rFonts w:ascii="Arial" w:hAnsi="Arial" w:cs="Arial"/>
                <w:sz w:val="20"/>
                <w:szCs w:val="20"/>
              </w:rPr>
            </w:pPr>
            <w:r w:rsidRPr="00F62AD6">
              <w:rPr>
                <w:rFonts w:ascii="Arial" w:hAnsi="Arial" w:cs="Arial"/>
                <w:sz w:val="20"/>
                <w:szCs w:val="20"/>
              </w:rPr>
              <w:t>Count the defendant for combinations AB and AC (</w:t>
            </w:r>
            <w:proofErr w:type="gramStart"/>
            <w:r w:rsidRPr="00F62AD6">
              <w:rPr>
                <w:rFonts w:ascii="Arial" w:hAnsi="Arial" w:cs="Arial"/>
                <w:sz w:val="20"/>
                <w:szCs w:val="20"/>
              </w:rPr>
              <w:t>i.e.</w:t>
            </w:r>
            <w:proofErr w:type="gramEnd"/>
            <w:r w:rsidRPr="00F62AD6">
              <w:rPr>
                <w:rFonts w:ascii="Arial" w:hAnsi="Arial" w:cs="Arial"/>
                <w:sz w:val="20"/>
                <w:szCs w:val="20"/>
              </w:rPr>
              <w:t xml:space="preserve"> twice)</w:t>
            </w:r>
          </w:p>
          <w:p w14:paraId="69627FF1" w14:textId="77777777" w:rsidR="00C00DCA" w:rsidRPr="00F62AD6" w:rsidRDefault="00C00DCA" w:rsidP="00C00DCA">
            <w:pPr>
              <w:rPr>
                <w:rFonts w:ascii="Arial" w:hAnsi="Arial" w:cs="Arial"/>
                <w:sz w:val="20"/>
                <w:szCs w:val="20"/>
              </w:rPr>
            </w:pPr>
          </w:p>
          <w:p w14:paraId="353F75EE" w14:textId="66B97A45" w:rsidR="00C00DCA" w:rsidRPr="00F62AD6" w:rsidRDefault="00C00DCA" w:rsidP="00C00DCA">
            <w:pPr>
              <w:rPr>
                <w:rFonts w:ascii="Arial" w:hAnsi="Arial" w:cs="Arial"/>
                <w:sz w:val="20"/>
                <w:szCs w:val="20"/>
              </w:rPr>
            </w:pPr>
            <w:r w:rsidRPr="00F62AD6">
              <w:rPr>
                <w:rFonts w:ascii="Arial" w:hAnsi="Arial" w:cs="Arial"/>
                <w:sz w:val="20"/>
                <w:szCs w:val="20"/>
              </w:rPr>
              <w:t>Combination BC not counted</w:t>
            </w:r>
            <w:r w:rsidR="000A483E" w:rsidRPr="00F62AD6">
              <w:rPr>
                <w:rFonts w:ascii="Arial" w:hAnsi="Arial" w:cs="Arial"/>
                <w:sz w:val="20"/>
                <w:szCs w:val="20"/>
              </w:rPr>
              <w:t xml:space="preserve"> as neither is a principal offence</w:t>
            </w:r>
          </w:p>
        </w:tc>
        <w:tc>
          <w:tcPr>
            <w:tcW w:w="2859" w:type="dxa"/>
          </w:tcPr>
          <w:p w14:paraId="416551C6" w14:textId="41E1D034" w:rsidR="00C00DCA" w:rsidRPr="00F62AD6" w:rsidRDefault="00C00DCA" w:rsidP="00C00DCA">
            <w:pPr>
              <w:rPr>
                <w:rFonts w:ascii="Arial" w:hAnsi="Arial" w:cs="Arial"/>
                <w:sz w:val="20"/>
                <w:szCs w:val="20"/>
              </w:rPr>
            </w:pPr>
            <w:r w:rsidRPr="00F62AD6">
              <w:rPr>
                <w:rFonts w:ascii="Arial" w:hAnsi="Arial" w:cs="Arial"/>
                <w:sz w:val="20"/>
                <w:szCs w:val="20"/>
              </w:rPr>
              <w:t>To include interactions between non-principal offences and remove trends caused by certain offences being more likely to appear as either the principal or non-principal offence</w:t>
            </w:r>
          </w:p>
        </w:tc>
      </w:tr>
    </w:tbl>
    <w:p w14:paraId="755F9859" w14:textId="34064391" w:rsidR="00DA3056" w:rsidRPr="00F62AD6" w:rsidRDefault="00DA3056" w:rsidP="00DA3056">
      <w:pPr>
        <w:rPr>
          <w:rFonts w:ascii="Arial" w:hAnsi="Arial" w:cs="Arial"/>
          <w:sz w:val="20"/>
          <w:szCs w:val="20"/>
        </w:rPr>
      </w:pPr>
      <w:r w:rsidRPr="00F62AD6">
        <w:rPr>
          <w:rFonts w:ascii="Arial" w:hAnsi="Arial" w:cs="Arial"/>
          <w:sz w:val="20"/>
          <w:szCs w:val="20"/>
        </w:rPr>
        <w:t>We welcome feedback from users on which method of presentation best suits their needs.</w:t>
      </w:r>
    </w:p>
    <w:p w14:paraId="45CED929" w14:textId="5D8DA6F1" w:rsidR="0093233D" w:rsidRPr="00F62AD6" w:rsidRDefault="0093233D" w:rsidP="0093233D">
      <w:pPr>
        <w:rPr>
          <w:rFonts w:ascii="Arial" w:hAnsi="Arial" w:cs="Arial"/>
          <w:sz w:val="20"/>
          <w:szCs w:val="20"/>
        </w:rPr>
      </w:pPr>
      <w:r w:rsidRPr="00F62AD6">
        <w:rPr>
          <w:rFonts w:ascii="Arial" w:hAnsi="Arial" w:cs="Arial"/>
          <w:sz w:val="20"/>
          <w:szCs w:val="20"/>
        </w:rPr>
        <w:t xml:space="preserve">An example of some analysis using the Statistics </w:t>
      </w:r>
      <w:r w:rsidR="00C00B36" w:rsidRPr="00F62AD6">
        <w:rPr>
          <w:rFonts w:ascii="Arial" w:hAnsi="Arial" w:cs="Arial"/>
          <w:sz w:val="20"/>
          <w:szCs w:val="20"/>
        </w:rPr>
        <w:t xml:space="preserve">‘Prosecutions for non-principal offences, by principal offence’ </w:t>
      </w:r>
      <w:r w:rsidRPr="00F62AD6">
        <w:rPr>
          <w:rFonts w:ascii="Arial" w:hAnsi="Arial" w:cs="Arial"/>
          <w:sz w:val="20"/>
          <w:szCs w:val="20"/>
        </w:rPr>
        <w:t xml:space="preserve">published </w:t>
      </w:r>
      <w:r w:rsidR="00C00B36" w:rsidRPr="00F62AD6">
        <w:rPr>
          <w:rFonts w:ascii="Arial" w:hAnsi="Arial" w:cs="Arial"/>
          <w:sz w:val="20"/>
          <w:szCs w:val="20"/>
        </w:rPr>
        <w:t>in May 2018</w:t>
      </w:r>
      <w:r w:rsidRPr="00F62AD6">
        <w:rPr>
          <w:rFonts w:ascii="Arial" w:hAnsi="Arial" w:cs="Arial"/>
          <w:sz w:val="20"/>
          <w:szCs w:val="20"/>
        </w:rPr>
        <w:t xml:space="preserve"> is the ONS ‘Sexual offending: victimisation and the path through the criminal justice system’ report published in December 2018</w:t>
      </w:r>
      <w:r w:rsidR="00AC70E6" w:rsidRPr="00F62AD6">
        <w:rPr>
          <w:rStyle w:val="FootnoteReference"/>
          <w:rFonts w:ascii="Arial" w:hAnsi="Arial" w:cs="Arial"/>
          <w:sz w:val="20"/>
          <w:szCs w:val="20"/>
        </w:rPr>
        <w:footnoteReference w:id="5"/>
      </w:r>
      <w:r w:rsidRPr="00F62AD6">
        <w:rPr>
          <w:rFonts w:ascii="Arial" w:hAnsi="Arial" w:cs="Arial"/>
          <w:sz w:val="20"/>
          <w:szCs w:val="20"/>
        </w:rPr>
        <w:t xml:space="preserve">. </w:t>
      </w:r>
    </w:p>
    <w:p w14:paraId="176FC51A" w14:textId="438BD086" w:rsidR="00823FAF" w:rsidRPr="00F62AD6" w:rsidRDefault="004E44B0" w:rsidP="00A324EB">
      <w:pPr>
        <w:rPr>
          <w:rFonts w:ascii="Arial" w:hAnsi="Arial" w:cs="Arial"/>
          <w:sz w:val="20"/>
          <w:szCs w:val="20"/>
        </w:rPr>
      </w:pPr>
      <w:r w:rsidRPr="00F62AD6">
        <w:rPr>
          <w:rFonts w:ascii="Arial" w:hAnsi="Arial" w:cs="Arial"/>
          <w:sz w:val="20"/>
          <w:szCs w:val="20"/>
          <w:u w:val="single"/>
        </w:rPr>
        <w:t>Other notes</w:t>
      </w:r>
      <w:bookmarkStart w:id="5" w:name="_Hlk514151630"/>
    </w:p>
    <w:p w14:paraId="6D842F19" w14:textId="77777777" w:rsidR="00C8039A" w:rsidRPr="00F62AD6" w:rsidRDefault="00C8039A" w:rsidP="00C8039A">
      <w:pPr>
        <w:pStyle w:val="ListParagraph"/>
        <w:numPr>
          <w:ilvl w:val="0"/>
          <w:numId w:val="4"/>
        </w:numPr>
        <w:rPr>
          <w:rFonts w:ascii="Arial" w:hAnsi="Arial" w:cs="Arial"/>
          <w:sz w:val="20"/>
          <w:szCs w:val="20"/>
        </w:rPr>
      </w:pPr>
      <w:r w:rsidRPr="00F62AD6">
        <w:rPr>
          <w:rFonts w:ascii="Arial" w:hAnsi="Arial" w:cs="Arial"/>
          <w:sz w:val="20"/>
          <w:szCs w:val="20"/>
        </w:rPr>
        <w:t xml:space="preserve">Every effort is made to ensure that the figures presented are accurate and complete. However, it is important to note that these data have been extracted from large administrative data systems generated by the courts. This is particularly important for non-principal offences, which have not been subject to the same level of validation as the principal offence datasets. Consequently, care should be taken to ensure data collection processes and their inevitable limitations, such as risks of inconsistent offence coding or erroneous data entry, are </w:t>
      </w:r>
      <w:proofErr w:type="gramStart"/>
      <w:r w:rsidRPr="00F62AD6">
        <w:rPr>
          <w:rFonts w:ascii="Arial" w:hAnsi="Arial" w:cs="Arial"/>
          <w:sz w:val="20"/>
          <w:szCs w:val="20"/>
        </w:rPr>
        <w:t>taken into account</w:t>
      </w:r>
      <w:proofErr w:type="gramEnd"/>
      <w:r w:rsidRPr="00F62AD6">
        <w:rPr>
          <w:rFonts w:ascii="Arial" w:hAnsi="Arial" w:cs="Arial"/>
          <w:sz w:val="20"/>
          <w:szCs w:val="20"/>
        </w:rPr>
        <w:t xml:space="preserve"> when those data are used.</w:t>
      </w:r>
    </w:p>
    <w:p w14:paraId="75261215" w14:textId="1399EB54" w:rsidR="00AC70E6" w:rsidRPr="00F62AD6" w:rsidRDefault="00957B56" w:rsidP="001B41C0">
      <w:pPr>
        <w:pStyle w:val="ListParagraph"/>
        <w:numPr>
          <w:ilvl w:val="0"/>
          <w:numId w:val="4"/>
        </w:numPr>
        <w:rPr>
          <w:rFonts w:ascii="Arial" w:hAnsi="Arial" w:cs="Arial"/>
          <w:sz w:val="20"/>
          <w:szCs w:val="20"/>
        </w:rPr>
      </w:pPr>
      <w:r w:rsidRPr="00F62AD6">
        <w:rPr>
          <w:rFonts w:ascii="Arial" w:hAnsi="Arial" w:cs="Arial"/>
          <w:sz w:val="20"/>
          <w:szCs w:val="20"/>
        </w:rPr>
        <w:t>A</w:t>
      </w:r>
      <w:r w:rsidR="001B41C0" w:rsidRPr="00F62AD6">
        <w:rPr>
          <w:rFonts w:ascii="Arial" w:hAnsi="Arial" w:cs="Arial"/>
          <w:sz w:val="20"/>
          <w:szCs w:val="20"/>
        </w:rPr>
        <w:t xml:space="preserve"> defendant may be prosecuted for more than two offences, </w:t>
      </w:r>
      <w:r w:rsidRPr="00F62AD6">
        <w:rPr>
          <w:rFonts w:ascii="Arial" w:hAnsi="Arial" w:cs="Arial"/>
          <w:sz w:val="20"/>
          <w:szCs w:val="20"/>
        </w:rPr>
        <w:t xml:space="preserve">so </w:t>
      </w:r>
      <w:r w:rsidR="001B41C0" w:rsidRPr="00F62AD6">
        <w:rPr>
          <w:rFonts w:ascii="Arial" w:hAnsi="Arial" w:cs="Arial"/>
          <w:sz w:val="20"/>
          <w:szCs w:val="20"/>
        </w:rPr>
        <w:t xml:space="preserve">they may be counted in more than one offence combination. Because of this, </w:t>
      </w:r>
      <w:r w:rsidR="0038001B" w:rsidRPr="00F62AD6">
        <w:rPr>
          <w:rFonts w:ascii="Arial" w:hAnsi="Arial" w:cs="Arial"/>
          <w:sz w:val="20"/>
          <w:szCs w:val="20"/>
        </w:rPr>
        <w:t>values for “</w:t>
      </w:r>
      <w:proofErr w:type="spellStart"/>
      <w:r w:rsidR="0038001B" w:rsidRPr="00F62AD6">
        <w:rPr>
          <w:rFonts w:ascii="Arial" w:hAnsi="Arial" w:cs="Arial"/>
          <w:sz w:val="20"/>
          <w:szCs w:val="20"/>
        </w:rPr>
        <w:t>n_defendants_offences_x_and_y</w:t>
      </w:r>
      <w:proofErr w:type="spellEnd"/>
      <w:r w:rsidR="0038001B" w:rsidRPr="00F62AD6">
        <w:rPr>
          <w:rFonts w:ascii="Arial" w:hAnsi="Arial" w:cs="Arial"/>
          <w:sz w:val="20"/>
          <w:szCs w:val="20"/>
        </w:rPr>
        <w:t xml:space="preserve">” </w:t>
      </w:r>
      <w:r w:rsidR="001B41C0" w:rsidRPr="00F62AD6">
        <w:rPr>
          <w:rFonts w:ascii="Arial" w:hAnsi="Arial" w:cs="Arial"/>
          <w:sz w:val="20"/>
          <w:szCs w:val="20"/>
        </w:rPr>
        <w:t>will not sum to</w:t>
      </w:r>
      <w:r w:rsidR="001A6BF0" w:rsidRPr="00F62AD6">
        <w:rPr>
          <w:rFonts w:ascii="Arial" w:hAnsi="Arial" w:cs="Arial"/>
          <w:sz w:val="20"/>
          <w:szCs w:val="20"/>
        </w:rPr>
        <w:t xml:space="preserve"> </w:t>
      </w:r>
      <w:r w:rsidR="00111954" w:rsidRPr="00F62AD6">
        <w:rPr>
          <w:rFonts w:ascii="Arial" w:hAnsi="Arial" w:cs="Arial"/>
          <w:sz w:val="20"/>
          <w:szCs w:val="20"/>
        </w:rPr>
        <w:t>the total number of defendants and values should not be added together</w:t>
      </w:r>
      <w:r w:rsidR="00AC70E6" w:rsidRPr="00F62AD6">
        <w:rPr>
          <w:rFonts w:ascii="Arial" w:hAnsi="Arial" w:cs="Arial"/>
          <w:sz w:val="20"/>
          <w:szCs w:val="20"/>
        </w:rPr>
        <w:t>.</w:t>
      </w:r>
    </w:p>
    <w:bookmarkEnd w:id="5"/>
    <w:p w14:paraId="322A92B4" w14:textId="77777777" w:rsidR="00957B56" w:rsidRPr="00F62AD6" w:rsidRDefault="000C6C72" w:rsidP="00957B56">
      <w:pPr>
        <w:pStyle w:val="ListParagraph"/>
        <w:numPr>
          <w:ilvl w:val="0"/>
          <w:numId w:val="4"/>
        </w:numPr>
        <w:spacing w:after="0"/>
        <w:rPr>
          <w:rFonts w:ascii="Arial" w:hAnsi="Arial" w:cs="Arial"/>
          <w:sz w:val="20"/>
          <w:szCs w:val="20"/>
        </w:rPr>
      </w:pPr>
      <w:r w:rsidRPr="00F62AD6">
        <w:rPr>
          <w:rFonts w:ascii="Arial" w:hAnsi="Arial" w:cs="Arial"/>
          <w:sz w:val="20"/>
          <w:szCs w:val="20"/>
        </w:rPr>
        <w:t>While we have made every effort to ensure data presented are accurate, there are a small number of offences where data submitted to us had an incorrect or invalid offence code. These are labelled as ‘Not Known’ in the “</w:t>
      </w:r>
      <w:proofErr w:type="spellStart"/>
      <w:r w:rsidRPr="00F62AD6">
        <w:rPr>
          <w:rFonts w:ascii="Arial" w:hAnsi="Arial" w:cs="Arial"/>
          <w:sz w:val="20"/>
          <w:szCs w:val="20"/>
        </w:rPr>
        <w:t>offence_x</w:t>
      </w:r>
      <w:proofErr w:type="spellEnd"/>
      <w:r w:rsidRPr="00F62AD6">
        <w:rPr>
          <w:rFonts w:ascii="Arial" w:hAnsi="Arial" w:cs="Arial"/>
          <w:sz w:val="20"/>
          <w:szCs w:val="20"/>
        </w:rPr>
        <w:t>” and “</w:t>
      </w:r>
      <w:proofErr w:type="spellStart"/>
      <w:r w:rsidRPr="00F62AD6">
        <w:rPr>
          <w:rFonts w:ascii="Arial" w:hAnsi="Arial" w:cs="Arial"/>
          <w:sz w:val="20"/>
          <w:szCs w:val="20"/>
        </w:rPr>
        <w:t>offence_y</w:t>
      </w:r>
      <w:proofErr w:type="spellEnd"/>
      <w:r w:rsidRPr="00F62AD6">
        <w:rPr>
          <w:rFonts w:ascii="Arial" w:hAnsi="Arial" w:cs="Arial"/>
          <w:sz w:val="20"/>
          <w:szCs w:val="20"/>
        </w:rPr>
        <w:t xml:space="preserve">” </w:t>
      </w:r>
      <w:proofErr w:type="gramStart"/>
      <w:r w:rsidRPr="00F62AD6">
        <w:rPr>
          <w:rFonts w:ascii="Arial" w:hAnsi="Arial" w:cs="Arial"/>
          <w:sz w:val="20"/>
          <w:szCs w:val="20"/>
        </w:rPr>
        <w:t>columns</w:t>
      </w:r>
      <w:proofErr w:type="gramEnd"/>
      <w:r w:rsidR="00957B56" w:rsidRPr="00F62AD6">
        <w:rPr>
          <w:rFonts w:ascii="Arial" w:hAnsi="Arial" w:cs="Arial"/>
          <w:sz w:val="20"/>
          <w:szCs w:val="20"/>
        </w:rPr>
        <w:t xml:space="preserve"> </w:t>
      </w:r>
    </w:p>
    <w:p w14:paraId="39449884" w14:textId="745C814F" w:rsidR="00957B56" w:rsidRPr="00F62AD6" w:rsidRDefault="00957B56" w:rsidP="00A324EB">
      <w:pPr>
        <w:pStyle w:val="ListParagraph"/>
        <w:numPr>
          <w:ilvl w:val="0"/>
          <w:numId w:val="4"/>
        </w:numPr>
        <w:spacing w:after="0"/>
        <w:rPr>
          <w:rFonts w:ascii="Arial" w:hAnsi="Arial" w:cs="Arial"/>
          <w:sz w:val="20"/>
          <w:szCs w:val="20"/>
        </w:rPr>
      </w:pPr>
      <w:r w:rsidRPr="00F62AD6">
        <w:rPr>
          <w:rFonts w:ascii="Arial" w:hAnsi="Arial" w:cs="Arial"/>
          <w:sz w:val="20"/>
          <w:szCs w:val="20"/>
        </w:rPr>
        <w:lastRenderedPageBreak/>
        <w:t>Data on defendants prosecuted are drawn solely from the magistrates’ courts records. For some offences, cases may bypass the magistrates’ courts and go straight to the Crown Court, so these records will not appear in the prosecutions data.</w:t>
      </w:r>
    </w:p>
    <w:p w14:paraId="77016BD7" w14:textId="77777777" w:rsidR="00F62AD6" w:rsidRDefault="00F62AD6" w:rsidP="004E44B0">
      <w:pPr>
        <w:rPr>
          <w:rFonts w:ascii="Arial" w:hAnsi="Arial" w:cs="Arial"/>
          <w:sz w:val="20"/>
          <w:szCs w:val="20"/>
          <w:u w:val="single"/>
        </w:rPr>
      </w:pPr>
    </w:p>
    <w:p w14:paraId="590ACA6D" w14:textId="7D3BB7A7" w:rsidR="004E44B0" w:rsidRPr="00F62AD6" w:rsidRDefault="004E44B0" w:rsidP="004E44B0">
      <w:pPr>
        <w:rPr>
          <w:rFonts w:ascii="Arial" w:hAnsi="Arial" w:cs="Arial"/>
          <w:sz w:val="20"/>
          <w:szCs w:val="20"/>
          <w:u w:val="single"/>
        </w:rPr>
      </w:pPr>
      <w:r w:rsidRPr="00F62AD6">
        <w:rPr>
          <w:rFonts w:ascii="Arial" w:hAnsi="Arial" w:cs="Arial"/>
          <w:sz w:val="20"/>
          <w:szCs w:val="20"/>
          <w:u w:val="single"/>
        </w:rPr>
        <w:t>Data supplier</w:t>
      </w:r>
    </w:p>
    <w:p w14:paraId="524013A9" w14:textId="07780BDC" w:rsidR="00F15E65" w:rsidRPr="00F62AD6" w:rsidRDefault="00775040" w:rsidP="004E44B0">
      <w:pPr>
        <w:rPr>
          <w:rFonts w:ascii="Arial" w:hAnsi="Arial" w:cs="Arial"/>
          <w:sz w:val="20"/>
          <w:szCs w:val="20"/>
        </w:rPr>
      </w:pPr>
      <w:r w:rsidRPr="00775040">
        <w:rPr>
          <w:rFonts w:ascii="Arial" w:hAnsi="Arial" w:cs="Arial"/>
          <w:sz w:val="20"/>
          <w:szCs w:val="20"/>
        </w:rPr>
        <w:t xml:space="preserve">Criminal Courts &amp; Sentencing Data and Statistics </w:t>
      </w:r>
      <w:r>
        <w:rPr>
          <w:rFonts w:ascii="Arial" w:hAnsi="Arial" w:cs="Arial"/>
          <w:sz w:val="20"/>
          <w:szCs w:val="20"/>
        </w:rPr>
        <w:br/>
      </w:r>
      <w:r w:rsidR="00F15E65">
        <w:rPr>
          <w:rFonts w:ascii="Arial" w:hAnsi="Arial" w:cs="Arial"/>
          <w:sz w:val="20"/>
          <w:szCs w:val="20"/>
        </w:rPr>
        <w:t xml:space="preserve">Data and </w:t>
      </w:r>
      <w:r w:rsidR="00860044">
        <w:rPr>
          <w:rFonts w:ascii="Arial" w:hAnsi="Arial" w:cs="Arial"/>
          <w:sz w:val="20"/>
          <w:szCs w:val="20"/>
        </w:rPr>
        <w:t>Analysis</w:t>
      </w:r>
      <w:r w:rsidR="00F15E65">
        <w:rPr>
          <w:rFonts w:ascii="Arial" w:hAnsi="Arial" w:cs="Arial"/>
          <w:sz w:val="20"/>
          <w:szCs w:val="20"/>
        </w:rPr>
        <w:br/>
        <w:t>Ministry of Justice</w:t>
      </w:r>
    </w:p>
    <w:p w14:paraId="1DD05D2F" w14:textId="055C32F2" w:rsidR="004E44B0" w:rsidRPr="00F62AD6" w:rsidRDefault="00B220D1" w:rsidP="004E44B0">
      <w:pPr>
        <w:rPr>
          <w:rFonts w:ascii="Arial" w:hAnsi="Arial" w:cs="Arial"/>
          <w:sz w:val="20"/>
          <w:szCs w:val="20"/>
        </w:rPr>
      </w:pPr>
      <w:r w:rsidRPr="00F62AD6">
        <w:rPr>
          <w:rFonts w:ascii="Arial" w:hAnsi="Arial" w:cs="Arial"/>
          <w:sz w:val="20"/>
          <w:szCs w:val="20"/>
        </w:rPr>
        <w:t xml:space="preserve">Published on </w:t>
      </w:r>
      <w:r w:rsidR="00860044">
        <w:rPr>
          <w:rFonts w:ascii="Arial" w:hAnsi="Arial" w:cs="Arial"/>
          <w:sz w:val="20"/>
          <w:szCs w:val="20"/>
        </w:rPr>
        <w:t>1</w:t>
      </w:r>
      <w:r w:rsidR="00775040">
        <w:rPr>
          <w:rFonts w:ascii="Arial" w:hAnsi="Arial" w:cs="Arial"/>
          <w:sz w:val="20"/>
          <w:szCs w:val="20"/>
        </w:rPr>
        <w:t>8</w:t>
      </w:r>
      <w:r w:rsidRPr="00F62AD6">
        <w:rPr>
          <w:rFonts w:ascii="Arial" w:hAnsi="Arial" w:cs="Arial"/>
          <w:sz w:val="20"/>
          <w:szCs w:val="20"/>
        </w:rPr>
        <w:t xml:space="preserve"> </w:t>
      </w:r>
      <w:r w:rsidR="00775040">
        <w:rPr>
          <w:rFonts w:ascii="Arial" w:hAnsi="Arial" w:cs="Arial"/>
          <w:sz w:val="20"/>
          <w:szCs w:val="20"/>
        </w:rPr>
        <w:t>January</w:t>
      </w:r>
      <w:r w:rsidRPr="00F62AD6">
        <w:rPr>
          <w:rFonts w:ascii="Arial" w:hAnsi="Arial" w:cs="Arial"/>
          <w:sz w:val="20"/>
          <w:szCs w:val="20"/>
        </w:rPr>
        <w:t xml:space="preserve"> 20</w:t>
      </w:r>
      <w:r w:rsidR="00E104F1" w:rsidRPr="00F62AD6">
        <w:rPr>
          <w:rFonts w:ascii="Arial" w:hAnsi="Arial" w:cs="Arial"/>
          <w:sz w:val="20"/>
          <w:szCs w:val="20"/>
        </w:rPr>
        <w:t>2</w:t>
      </w:r>
      <w:r w:rsidR="00775040">
        <w:rPr>
          <w:rFonts w:ascii="Arial" w:hAnsi="Arial" w:cs="Arial"/>
          <w:sz w:val="20"/>
          <w:szCs w:val="20"/>
        </w:rPr>
        <w:t>4</w:t>
      </w:r>
    </w:p>
    <w:p w14:paraId="3FDE995E" w14:textId="6B1EA723" w:rsidR="00E16512" w:rsidRPr="00F62AD6" w:rsidRDefault="00E16512" w:rsidP="004E44B0">
      <w:pPr>
        <w:rPr>
          <w:rFonts w:ascii="Arial" w:hAnsi="Arial" w:cs="Arial"/>
          <w:sz w:val="20"/>
          <w:szCs w:val="20"/>
        </w:rPr>
      </w:pPr>
      <w:r w:rsidRPr="00F62AD6">
        <w:rPr>
          <w:rFonts w:ascii="Arial" w:hAnsi="Arial" w:cs="Arial"/>
          <w:sz w:val="20"/>
          <w:szCs w:val="20"/>
        </w:rPr>
        <w:t xml:space="preserve">Contact: </w:t>
      </w:r>
      <w:hyperlink r:id="rId8" w:history="1">
        <w:r w:rsidR="00B42A50" w:rsidRPr="00F62AD6">
          <w:rPr>
            <w:rStyle w:val="Hyperlink"/>
            <w:rFonts w:ascii="Arial" w:hAnsi="Arial" w:cs="Arial"/>
            <w:sz w:val="20"/>
            <w:szCs w:val="20"/>
          </w:rPr>
          <w:t>CJS_Statistics@justice.gov.uk</w:t>
        </w:r>
      </w:hyperlink>
      <w:r w:rsidR="00B42A50" w:rsidRPr="00F62AD6">
        <w:rPr>
          <w:rFonts w:ascii="Arial" w:hAnsi="Arial" w:cs="Arial"/>
          <w:sz w:val="20"/>
          <w:szCs w:val="20"/>
        </w:rPr>
        <w:t xml:space="preserve"> </w:t>
      </w:r>
    </w:p>
    <w:p w14:paraId="42CCF114" w14:textId="0E976250" w:rsidR="00E104F1" w:rsidRPr="00F62AD6" w:rsidRDefault="004E44B0" w:rsidP="00CC726F">
      <w:pPr>
        <w:rPr>
          <w:rFonts w:ascii="Arial" w:hAnsi="Arial" w:cs="Arial"/>
          <w:sz w:val="20"/>
          <w:szCs w:val="20"/>
        </w:rPr>
      </w:pPr>
      <w:r w:rsidRPr="00F62AD6">
        <w:rPr>
          <w:rFonts w:ascii="Arial" w:hAnsi="Arial" w:cs="Arial"/>
          <w:sz w:val="20"/>
          <w:szCs w:val="20"/>
        </w:rPr>
        <w:t xml:space="preserve">Further information on data sources and definitions can be found in the guidance document produced alongside the main report - Guide to Criminal Justice Statistics at: </w:t>
      </w:r>
      <w:hyperlink r:id="rId9" w:history="1">
        <w:r w:rsidR="00662ADF" w:rsidRPr="00627D65">
          <w:rPr>
            <w:rStyle w:val="Hyperlink"/>
            <w:rFonts w:ascii="Arial" w:hAnsi="Arial" w:cs="Arial"/>
            <w:sz w:val="20"/>
            <w:szCs w:val="20"/>
          </w:rPr>
          <w:t>https://www.gov.uk/government/statistics/criminal-justice-system-statistics-quarterly-december-2022</w:t>
        </w:r>
      </w:hyperlink>
    </w:p>
    <w:p w14:paraId="2F83E47F" w14:textId="5C7CE7CB" w:rsidR="00577C49" w:rsidRPr="00F62AD6" w:rsidRDefault="0038001B" w:rsidP="00CC726F">
      <w:pPr>
        <w:rPr>
          <w:rFonts w:ascii="Arial" w:hAnsi="Arial" w:cs="Arial"/>
          <w:sz w:val="20"/>
          <w:szCs w:val="20"/>
        </w:rPr>
      </w:pPr>
      <w:r w:rsidRPr="00F62AD6">
        <w:rPr>
          <w:rFonts w:ascii="Arial" w:hAnsi="Arial" w:cs="Arial"/>
          <w:sz w:val="20"/>
          <w:szCs w:val="20"/>
        </w:rPr>
        <w:t>T</w:t>
      </w:r>
      <w:r w:rsidR="00577C49" w:rsidRPr="00F62AD6">
        <w:rPr>
          <w:rFonts w:ascii="Arial" w:hAnsi="Arial" w:cs="Arial"/>
          <w:sz w:val="20"/>
          <w:szCs w:val="20"/>
        </w:rPr>
        <w:t xml:space="preserve">he main bulletin and accompanying tables and tools </w:t>
      </w:r>
      <w:r w:rsidR="00A324EB" w:rsidRPr="00F62AD6">
        <w:rPr>
          <w:rFonts w:ascii="Arial" w:hAnsi="Arial" w:cs="Arial"/>
          <w:sz w:val="20"/>
          <w:szCs w:val="20"/>
        </w:rPr>
        <w:t>can</w:t>
      </w:r>
      <w:r w:rsidR="00577C49" w:rsidRPr="00F62AD6">
        <w:rPr>
          <w:rFonts w:ascii="Arial" w:hAnsi="Arial" w:cs="Arial"/>
          <w:sz w:val="20"/>
          <w:szCs w:val="20"/>
        </w:rPr>
        <w:t xml:space="preserve"> also </w:t>
      </w:r>
      <w:r w:rsidR="00A324EB" w:rsidRPr="00F62AD6">
        <w:rPr>
          <w:rFonts w:ascii="Arial" w:hAnsi="Arial" w:cs="Arial"/>
          <w:sz w:val="20"/>
          <w:szCs w:val="20"/>
        </w:rPr>
        <w:t>b</w:t>
      </w:r>
      <w:r w:rsidR="00577C49" w:rsidRPr="00F62AD6">
        <w:rPr>
          <w:rFonts w:ascii="Arial" w:hAnsi="Arial" w:cs="Arial"/>
          <w:sz w:val="20"/>
          <w:szCs w:val="20"/>
        </w:rPr>
        <w:t>e</w:t>
      </w:r>
      <w:r w:rsidR="00A324EB" w:rsidRPr="00F62AD6">
        <w:rPr>
          <w:rFonts w:ascii="Arial" w:hAnsi="Arial" w:cs="Arial"/>
          <w:sz w:val="20"/>
          <w:szCs w:val="20"/>
        </w:rPr>
        <w:t xml:space="preserve"> accessed</w:t>
      </w:r>
      <w:r w:rsidR="00577C49" w:rsidRPr="00F62AD6">
        <w:rPr>
          <w:rFonts w:ascii="Arial" w:hAnsi="Arial" w:cs="Arial"/>
          <w:sz w:val="20"/>
          <w:szCs w:val="20"/>
        </w:rPr>
        <w:t>.</w:t>
      </w:r>
    </w:p>
    <w:sectPr w:rsidR="00577C49" w:rsidRPr="00F62AD6" w:rsidSect="007C191C">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F8D37" w14:textId="77777777" w:rsidR="004E44B0" w:rsidRDefault="004E44B0" w:rsidP="004E44B0">
      <w:pPr>
        <w:spacing w:after="0" w:line="240" w:lineRule="auto"/>
      </w:pPr>
      <w:r>
        <w:separator/>
      </w:r>
    </w:p>
  </w:endnote>
  <w:endnote w:type="continuationSeparator" w:id="0">
    <w:p w14:paraId="1201185E" w14:textId="77777777" w:rsidR="004E44B0" w:rsidRDefault="004E44B0" w:rsidP="004E44B0">
      <w:pPr>
        <w:spacing w:after="0" w:line="240" w:lineRule="auto"/>
      </w:pPr>
      <w:r>
        <w:continuationSeparator/>
      </w:r>
    </w:p>
  </w:endnote>
  <w:endnote w:type="continuationNotice" w:id="1">
    <w:p w14:paraId="33419BA4" w14:textId="77777777" w:rsidR="00776A0A" w:rsidRDefault="00776A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6667126"/>
      <w:docPartObj>
        <w:docPartGallery w:val="Page Numbers (Bottom of Page)"/>
        <w:docPartUnique/>
      </w:docPartObj>
    </w:sdtPr>
    <w:sdtEndPr>
      <w:rPr>
        <w:noProof/>
      </w:rPr>
    </w:sdtEndPr>
    <w:sdtContent>
      <w:p w14:paraId="76643205" w14:textId="64F69094" w:rsidR="00E827E3" w:rsidRDefault="00E827E3">
        <w:pPr>
          <w:pStyle w:val="Footer"/>
          <w:jc w:val="center"/>
        </w:pPr>
        <w:r>
          <w:fldChar w:fldCharType="begin"/>
        </w:r>
        <w:r>
          <w:instrText xml:space="preserve"> PAGE   \* MERGEFORMAT </w:instrText>
        </w:r>
        <w:r>
          <w:fldChar w:fldCharType="separate"/>
        </w:r>
        <w:r w:rsidR="00C8039A">
          <w:rPr>
            <w:noProof/>
          </w:rPr>
          <w:t>5</w:t>
        </w:r>
        <w:r>
          <w:rPr>
            <w:noProof/>
          </w:rPr>
          <w:fldChar w:fldCharType="end"/>
        </w:r>
      </w:p>
    </w:sdtContent>
  </w:sdt>
  <w:p w14:paraId="31C75F31" w14:textId="77777777" w:rsidR="00E827E3" w:rsidRDefault="00E827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11B9C" w14:textId="77777777" w:rsidR="004E44B0" w:rsidRDefault="004E44B0" w:rsidP="004E44B0">
      <w:pPr>
        <w:spacing w:after="0" w:line="240" w:lineRule="auto"/>
      </w:pPr>
      <w:r>
        <w:separator/>
      </w:r>
    </w:p>
  </w:footnote>
  <w:footnote w:type="continuationSeparator" w:id="0">
    <w:p w14:paraId="1DC62C57" w14:textId="77777777" w:rsidR="004E44B0" w:rsidRDefault="004E44B0" w:rsidP="004E44B0">
      <w:pPr>
        <w:spacing w:after="0" w:line="240" w:lineRule="auto"/>
      </w:pPr>
      <w:r>
        <w:continuationSeparator/>
      </w:r>
    </w:p>
  </w:footnote>
  <w:footnote w:type="continuationNotice" w:id="1">
    <w:p w14:paraId="7E8A6A63" w14:textId="77777777" w:rsidR="00776A0A" w:rsidRDefault="00776A0A">
      <w:pPr>
        <w:spacing w:after="0" w:line="240" w:lineRule="auto"/>
      </w:pPr>
    </w:p>
  </w:footnote>
  <w:footnote w:id="2">
    <w:p w14:paraId="34F16A52" w14:textId="525DEE2C" w:rsidR="00276FDC" w:rsidRPr="00860044" w:rsidRDefault="00276FDC" w:rsidP="00860044">
      <w:pPr>
        <w:pStyle w:val="FootnoteText"/>
        <w:spacing w:after="0"/>
        <w:rPr>
          <w:rFonts w:ascii="Arial" w:hAnsi="Arial" w:cs="Arial"/>
          <w:sz w:val="16"/>
          <w:szCs w:val="16"/>
        </w:rPr>
      </w:pPr>
      <w:r w:rsidRPr="00860044">
        <w:rPr>
          <w:rStyle w:val="FootnoteReference"/>
          <w:rFonts w:ascii="Arial" w:hAnsi="Arial" w:cs="Arial"/>
          <w:sz w:val="16"/>
          <w:szCs w:val="16"/>
        </w:rPr>
        <w:footnoteRef/>
      </w:r>
      <w:r w:rsidRPr="00860044">
        <w:rPr>
          <w:rFonts w:ascii="Arial" w:hAnsi="Arial" w:cs="Arial"/>
          <w:sz w:val="16"/>
          <w:szCs w:val="16"/>
        </w:rPr>
        <w:t xml:space="preserve"> See the ‘</w:t>
      </w:r>
      <w:r w:rsidRPr="00860044">
        <w:rPr>
          <w:rFonts w:ascii="Arial" w:hAnsi="Arial" w:cs="Arial"/>
          <w:i/>
          <w:sz w:val="16"/>
          <w:szCs w:val="16"/>
        </w:rPr>
        <w:t>Guide to Criminal Justice Statistics’</w:t>
      </w:r>
      <w:r w:rsidRPr="00860044">
        <w:rPr>
          <w:rFonts w:ascii="Arial" w:hAnsi="Arial" w:cs="Arial"/>
          <w:sz w:val="16"/>
          <w:szCs w:val="16"/>
        </w:rPr>
        <w:t xml:space="preserve"> accompanying this publication for further information on the ‘principal offence’ and how it is determined.</w:t>
      </w:r>
    </w:p>
  </w:footnote>
  <w:footnote w:id="3">
    <w:p w14:paraId="1A439379" w14:textId="47E45648" w:rsidR="0074156A" w:rsidRPr="00F62AD6" w:rsidRDefault="0074156A" w:rsidP="00860044">
      <w:pPr>
        <w:pStyle w:val="FootnoteText"/>
        <w:spacing w:after="0"/>
        <w:rPr>
          <w:rFonts w:ascii="Arial" w:hAnsi="Arial" w:cs="Arial"/>
          <w:sz w:val="18"/>
          <w:szCs w:val="18"/>
        </w:rPr>
      </w:pPr>
      <w:r w:rsidRPr="00860044">
        <w:rPr>
          <w:rStyle w:val="FootnoteReference"/>
          <w:rFonts w:ascii="Arial" w:hAnsi="Arial" w:cs="Arial"/>
          <w:sz w:val="16"/>
          <w:szCs w:val="16"/>
        </w:rPr>
        <w:footnoteRef/>
      </w:r>
      <w:r w:rsidRPr="00860044">
        <w:rPr>
          <w:rFonts w:ascii="Arial" w:hAnsi="Arial" w:cs="Arial"/>
          <w:sz w:val="16"/>
          <w:szCs w:val="16"/>
        </w:rPr>
        <w:t xml:space="preserve"> </w:t>
      </w:r>
      <w:hyperlink r:id="rId1" w:history="1">
        <w:r w:rsidR="00B42A50" w:rsidRPr="00860044">
          <w:rPr>
            <w:rStyle w:val="Hyperlink"/>
            <w:rFonts w:ascii="Arial" w:hAnsi="Arial" w:cs="Arial"/>
            <w:sz w:val="16"/>
            <w:szCs w:val="16"/>
          </w:rPr>
          <w:t>www.gov.uk/government/statistics/criminal-justice-system-statistics-quarterly-december-2017</w:t>
        </w:r>
      </w:hyperlink>
      <w:r w:rsidR="00B42A50" w:rsidRPr="00F62AD6">
        <w:rPr>
          <w:rFonts w:ascii="Arial" w:hAnsi="Arial" w:cs="Arial"/>
          <w:sz w:val="18"/>
          <w:szCs w:val="18"/>
        </w:rPr>
        <w:t xml:space="preserve"> </w:t>
      </w:r>
    </w:p>
  </w:footnote>
  <w:footnote w:id="4">
    <w:p w14:paraId="1AE004BB" w14:textId="046FD612" w:rsidR="00F87222" w:rsidRPr="00F62AD6" w:rsidRDefault="00F87222">
      <w:pPr>
        <w:pStyle w:val="FootnoteText"/>
        <w:rPr>
          <w:rFonts w:ascii="Arial" w:hAnsi="Arial" w:cs="Arial"/>
          <w:sz w:val="18"/>
          <w:szCs w:val="18"/>
        </w:rPr>
      </w:pPr>
      <w:r w:rsidRPr="00860044">
        <w:rPr>
          <w:rStyle w:val="FootnoteReference"/>
          <w:rFonts w:ascii="Arial" w:hAnsi="Arial" w:cs="Arial"/>
          <w:sz w:val="16"/>
          <w:szCs w:val="16"/>
        </w:rPr>
        <w:footnoteRef/>
      </w:r>
      <w:r w:rsidRPr="00860044">
        <w:rPr>
          <w:rFonts w:ascii="Arial" w:hAnsi="Arial" w:cs="Arial"/>
          <w:sz w:val="16"/>
          <w:szCs w:val="16"/>
        </w:rPr>
        <w:t xml:space="preserve"> Where defendants were prosecuted for murder as a non-principal offence, </w:t>
      </w:r>
      <w:r w:rsidRPr="00860044">
        <w:rPr>
          <w:rFonts w:ascii="Arial" w:eastAsia="Times New Roman" w:hAnsi="Arial" w:cs="Arial"/>
          <w:sz w:val="16"/>
          <w:szCs w:val="16"/>
        </w:rPr>
        <w:t xml:space="preserve">they may have been prosecuted for an offence with an equally severe statutory maximum </w:t>
      </w:r>
      <w:proofErr w:type="gramStart"/>
      <w:r w:rsidRPr="00860044">
        <w:rPr>
          <w:rFonts w:ascii="Arial" w:eastAsia="Times New Roman" w:hAnsi="Arial" w:cs="Arial"/>
          <w:sz w:val="16"/>
          <w:szCs w:val="16"/>
        </w:rPr>
        <w:t>penalty</w:t>
      </w:r>
      <w:r w:rsidR="00C00B36" w:rsidRPr="00860044">
        <w:rPr>
          <w:rFonts w:ascii="Arial" w:eastAsia="Times New Roman" w:hAnsi="Arial" w:cs="Arial"/>
          <w:sz w:val="16"/>
          <w:szCs w:val="16"/>
        </w:rPr>
        <w:t>,</w:t>
      </w:r>
      <w:r w:rsidRPr="00860044">
        <w:rPr>
          <w:rFonts w:ascii="Arial" w:eastAsia="Times New Roman" w:hAnsi="Arial" w:cs="Arial"/>
          <w:sz w:val="16"/>
          <w:szCs w:val="16"/>
        </w:rPr>
        <w:t xml:space="preserve"> or</w:t>
      </w:r>
      <w:proofErr w:type="gramEnd"/>
      <w:r w:rsidRPr="00860044">
        <w:rPr>
          <w:rFonts w:ascii="Arial" w:eastAsia="Times New Roman" w:hAnsi="Arial" w:cs="Arial"/>
          <w:sz w:val="16"/>
          <w:szCs w:val="16"/>
        </w:rPr>
        <w:t xml:space="preserve"> been dealt with for a different offence at magistrates’ court and sent to the Crown Court for trial for murder.</w:t>
      </w:r>
      <w:r w:rsidRPr="00860044">
        <w:rPr>
          <w:rFonts w:ascii="Arial" w:hAnsi="Arial" w:cs="Arial"/>
          <w:sz w:val="16"/>
          <w:szCs w:val="16"/>
        </w:rPr>
        <w:t xml:space="preserve"> Explanation of how the principal offence is selected in the prosecutions data is available in the ‘Guide to Criminal Justice Statistics’ accompanying this publication.</w:t>
      </w:r>
    </w:p>
  </w:footnote>
  <w:footnote w:id="5">
    <w:p w14:paraId="0EBD3EDF" w14:textId="47193760" w:rsidR="00AC70E6" w:rsidRPr="00F62AD6" w:rsidRDefault="00AC70E6">
      <w:pPr>
        <w:pStyle w:val="FootnoteText"/>
        <w:rPr>
          <w:rFonts w:ascii="Arial" w:hAnsi="Arial" w:cs="Arial"/>
          <w:sz w:val="18"/>
          <w:szCs w:val="18"/>
        </w:rPr>
      </w:pPr>
      <w:r w:rsidRPr="00F62AD6">
        <w:rPr>
          <w:rStyle w:val="FootnoteReference"/>
          <w:rFonts w:ascii="Arial" w:hAnsi="Arial" w:cs="Arial"/>
          <w:sz w:val="18"/>
          <w:szCs w:val="18"/>
        </w:rPr>
        <w:footnoteRef/>
      </w:r>
      <w:hyperlink r:id="rId2" w:anchor="court-proceedings" w:history="1">
        <w:r w:rsidR="00B42A50" w:rsidRPr="00860044">
          <w:rPr>
            <w:rStyle w:val="Hyperlink"/>
            <w:rFonts w:ascii="Arial" w:hAnsi="Arial" w:cs="Arial"/>
            <w:sz w:val="16"/>
            <w:szCs w:val="16"/>
          </w:rPr>
          <w:t>www.ons.gov.uk/peoplepopulationandcommunity/crimeandjustice/articles/sexualoffendingvictimisationandthepaththroughthecriminaljusticesystem/2018-12-13#court-proceedings</w:t>
        </w:r>
      </w:hyperlink>
      <w:r w:rsidR="00B42A50" w:rsidRPr="00F62AD6">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82C"/>
    <w:multiLevelType w:val="hybridMultilevel"/>
    <w:tmpl w:val="A0603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F91553"/>
    <w:multiLevelType w:val="hybridMultilevel"/>
    <w:tmpl w:val="04602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450900"/>
    <w:multiLevelType w:val="hybridMultilevel"/>
    <w:tmpl w:val="F52081C4"/>
    <w:lvl w:ilvl="0" w:tplc="E290527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F69559C"/>
    <w:multiLevelType w:val="hybridMultilevel"/>
    <w:tmpl w:val="3558E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7A5C6B"/>
    <w:multiLevelType w:val="hybridMultilevel"/>
    <w:tmpl w:val="80FEF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727DE7"/>
    <w:multiLevelType w:val="hybridMultilevel"/>
    <w:tmpl w:val="A5EE2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FF4606"/>
    <w:multiLevelType w:val="hybridMultilevel"/>
    <w:tmpl w:val="146CE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265659"/>
    <w:multiLevelType w:val="hybridMultilevel"/>
    <w:tmpl w:val="DA6CFC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80716B"/>
    <w:multiLevelType w:val="hybridMultilevel"/>
    <w:tmpl w:val="BA549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D53C1A"/>
    <w:multiLevelType w:val="hybridMultilevel"/>
    <w:tmpl w:val="2FC288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292C76"/>
    <w:multiLevelType w:val="hybridMultilevel"/>
    <w:tmpl w:val="ADCC0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397A64"/>
    <w:multiLevelType w:val="hybridMultilevel"/>
    <w:tmpl w:val="2A5EA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435370"/>
    <w:multiLevelType w:val="hybridMultilevel"/>
    <w:tmpl w:val="852A3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875E17"/>
    <w:multiLevelType w:val="hybridMultilevel"/>
    <w:tmpl w:val="A2EE2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DA5D59"/>
    <w:multiLevelType w:val="hybridMultilevel"/>
    <w:tmpl w:val="BF92C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A80BA4"/>
    <w:multiLevelType w:val="hybridMultilevel"/>
    <w:tmpl w:val="628AE0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1062B12"/>
    <w:multiLevelType w:val="hybridMultilevel"/>
    <w:tmpl w:val="271CA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4A2711"/>
    <w:multiLevelType w:val="hybridMultilevel"/>
    <w:tmpl w:val="EBD87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991364"/>
    <w:multiLevelType w:val="hybridMultilevel"/>
    <w:tmpl w:val="707A69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80571BD"/>
    <w:multiLevelType w:val="hybridMultilevel"/>
    <w:tmpl w:val="65BAF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1A5FE6"/>
    <w:multiLevelType w:val="hybridMultilevel"/>
    <w:tmpl w:val="9AECD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2E7F10"/>
    <w:multiLevelType w:val="hybridMultilevel"/>
    <w:tmpl w:val="DC7E727A"/>
    <w:lvl w:ilvl="0" w:tplc="E0D603D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2F35A5"/>
    <w:multiLevelType w:val="hybridMultilevel"/>
    <w:tmpl w:val="55B0D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805B0E"/>
    <w:multiLevelType w:val="hybridMultilevel"/>
    <w:tmpl w:val="13AC1CFC"/>
    <w:lvl w:ilvl="0" w:tplc="7A28E12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E720B7"/>
    <w:multiLevelType w:val="hybridMultilevel"/>
    <w:tmpl w:val="6832E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396238"/>
    <w:multiLevelType w:val="hybridMultilevel"/>
    <w:tmpl w:val="8090B6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ACA5F3C"/>
    <w:multiLevelType w:val="hybridMultilevel"/>
    <w:tmpl w:val="8092C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125A97"/>
    <w:multiLevelType w:val="hybridMultilevel"/>
    <w:tmpl w:val="3FA033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6291873">
    <w:abstractNumId w:val="27"/>
  </w:num>
  <w:num w:numId="2" w16cid:durableId="831263139">
    <w:abstractNumId w:val="21"/>
  </w:num>
  <w:num w:numId="3" w16cid:durableId="1733380266">
    <w:abstractNumId w:val="17"/>
  </w:num>
  <w:num w:numId="4" w16cid:durableId="244346502">
    <w:abstractNumId w:val="18"/>
  </w:num>
  <w:num w:numId="5" w16cid:durableId="1208957699">
    <w:abstractNumId w:val="15"/>
  </w:num>
  <w:num w:numId="6" w16cid:durableId="718089294">
    <w:abstractNumId w:val="15"/>
  </w:num>
  <w:num w:numId="7" w16cid:durableId="364446714">
    <w:abstractNumId w:val="11"/>
  </w:num>
  <w:num w:numId="8" w16cid:durableId="434520383">
    <w:abstractNumId w:val="7"/>
  </w:num>
  <w:num w:numId="9" w16cid:durableId="53742342">
    <w:abstractNumId w:val="9"/>
  </w:num>
  <w:num w:numId="10" w16cid:durableId="198277174">
    <w:abstractNumId w:val="2"/>
  </w:num>
  <w:num w:numId="11" w16cid:durableId="1029989473">
    <w:abstractNumId w:val="26"/>
  </w:num>
  <w:num w:numId="12" w16cid:durableId="1474785961">
    <w:abstractNumId w:val="24"/>
  </w:num>
  <w:num w:numId="13" w16cid:durableId="174614059">
    <w:abstractNumId w:val="10"/>
  </w:num>
  <w:num w:numId="14" w16cid:durableId="986544271">
    <w:abstractNumId w:val="1"/>
  </w:num>
  <w:num w:numId="15" w16cid:durableId="1466200346">
    <w:abstractNumId w:val="3"/>
  </w:num>
  <w:num w:numId="16" w16cid:durableId="842823692">
    <w:abstractNumId w:val="19"/>
  </w:num>
  <w:num w:numId="17" w16cid:durableId="415904056">
    <w:abstractNumId w:val="0"/>
  </w:num>
  <w:num w:numId="18" w16cid:durableId="145821771">
    <w:abstractNumId w:val="14"/>
  </w:num>
  <w:num w:numId="19" w16cid:durableId="345669542">
    <w:abstractNumId w:val="13"/>
  </w:num>
  <w:num w:numId="20" w16cid:durableId="1796831483">
    <w:abstractNumId w:val="23"/>
  </w:num>
  <w:num w:numId="21" w16cid:durableId="563686604">
    <w:abstractNumId w:val="5"/>
  </w:num>
  <w:num w:numId="22" w16cid:durableId="1367176702">
    <w:abstractNumId w:val="6"/>
  </w:num>
  <w:num w:numId="23" w16cid:durableId="750854930">
    <w:abstractNumId w:val="22"/>
  </w:num>
  <w:num w:numId="24" w16cid:durableId="1042553040">
    <w:abstractNumId w:val="12"/>
  </w:num>
  <w:num w:numId="25" w16cid:durableId="1565988613">
    <w:abstractNumId w:val="25"/>
  </w:num>
  <w:num w:numId="26" w16cid:durableId="963538833">
    <w:abstractNumId w:val="4"/>
  </w:num>
  <w:num w:numId="27" w16cid:durableId="681587544">
    <w:abstractNumId w:val="16"/>
  </w:num>
  <w:num w:numId="28" w16cid:durableId="689722059">
    <w:abstractNumId w:val="20"/>
  </w:num>
  <w:num w:numId="29" w16cid:durableId="19009004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BE9"/>
    <w:rsid w:val="000035AC"/>
    <w:rsid w:val="00006022"/>
    <w:rsid w:val="00007D59"/>
    <w:rsid w:val="0001176E"/>
    <w:rsid w:val="000232E6"/>
    <w:rsid w:val="00027373"/>
    <w:rsid w:val="00037279"/>
    <w:rsid w:val="00046B0D"/>
    <w:rsid w:val="000477E6"/>
    <w:rsid w:val="00073F44"/>
    <w:rsid w:val="000845A6"/>
    <w:rsid w:val="000A1296"/>
    <w:rsid w:val="000A483E"/>
    <w:rsid w:val="000C2DC6"/>
    <w:rsid w:val="000C6C72"/>
    <w:rsid w:val="000D30C7"/>
    <w:rsid w:val="00100784"/>
    <w:rsid w:val="00111954"/>
    <w:rsid w:val="00123420"/>
    <w:rsid w:val="00125FE5"/>
    <w:rsid w:val="0014592F"/>
    <w:rsid w:val="00150CBA"/>
    <w:rsid w:val="0015460F"/>
    <w:rsid w:val="001569E3"/>
    <w:rsid w:val="00157A86"/>
    <w:rsid w:val="00162BE9"/>
    <w:rsid w:val="00163BA1"/>
    <w:rsid w:val="00170C94"/>
    <w:rsid w:val="00196273"/>
    <w:rsid w:val="001A6BF0"/>
    <w:rsid w:val="001B41C0"/>
    <w:rsid w:val="001F2094"/>
    <w:rsid w:val="001F62F1"/>
    <w:rsid w:val="00202880"/>
    <w:rsid w:val="00220120"/>
    <w:rsid w:val="00242B8C"/>
    <w:rsid w:val="00273FA9"/>
    <w:rsid w:val="00276FDC"/>
    <w:rsid w:val="00281E0F"/>
    <w:rsid w:val="00287123"/>
    <w:rsid w:val="002B084B"/>
    <w:rsid w:val="002B1DEB"/>
    <w:rsid w:val="002C27E1"/>
    <w:rsid w:val="002D7A4F"/>
    <w:rsid w:val="002F0BE9"/>
    <w:rsid w:val="002F6A86"/>
    <w:rsid w:val="00326ACE"/>
    <w:rsid w:val="00326BD0"/>
    <w:rsid w:val="0032701E"/>
    <w:rsid w:val="00342991"/>
    <w:rsid w:val="00350E0B"/>
    <w:rsid w:val="00365423"/>
    <w:rsid w:val="00374A28"/>
    <w:rsid w:val="0038001B"/>
    <w:rsid w:val="003832FC"/>
    <w:rsid w:val="00385E3F"/>
    <w:rsid w:val="003905F2"/>
    <w:rsid w:val="003B6F04"/>
    <w:rsid w:val="003C4F2D"/>
    <w:rsid w:val="003D0B78"/>
    <w:rsid w:val="003D157A"/>
    <w:rsid w:val="003E3258"/>
    <w:rsid w:val="003E7D5F"/>
    <w:rsid w:val="00400FF0"/>
    <w:rsid w:val="00411D7A"/>
    <w:rsid w:val="00420308"/>
    <w:rsid w:val="0042295E"/>
    <w:rsid w:val="00431C7D"/>
    <w:rsid w:val="00442A59"/>
    <w:rsid w:val="0044466B"/>
    <w:rsid w:val="004523D7"/>
    <w:rsid w:val="0045359D"/>
    <w:rsid w:val="004650BF"/>
    <w:rsid w:val="004A5A37"/>
    <w:rsid w:val="004B01C8"/>
    <w:rsid w:val="004B248B"/>
    <w:rsid w:val="004C5076"/>
    <w:rsid w:val="004D2BC0"/>
    <w:rsid w:val="004E1D2D"/>
    <w:rsid w:val="004E44B0"/>
    <w:rsid w:val="0052046F"/>
    <w:rsid w:val="0055749D"/>
    <w:rsid w:val="00577C49"/>
    <w:rsid w:val="005871E3"/>
    <w:rsid w:val="005966B9"/>
    <w:rsid w:val="0059703A"/>
    <w:rsid w:val="005A6846"/>
    <w:rsid w:val="005D19FF"/>
    <w:rsid w:val="005E4C46"/>
    <w:rsid w:val="005E5267"/>
    <w:rsid w:val="005E6114"/>
    <w:rsid w:val="006078E1"/>
    <w:rsid w:val="00612E02"/>
    <w:rsid w:val="0061743F"/>
    <w:rsid w:val="00634F5F"/>
    <w:rsid w:val="0064095A"/>
    <w:rsid w:val="00643214"/>
    <w:rsid w:val="00657563"/>
    <w:rsid w:val="00662ADF"/>
    <w:rsid w:val="00666488"/>
    <w:rsid w:val="006710E7"/>
    <w:rsid w:val="006714D3"/>
    <w:rsid w:val="006857EE"/>
    <w:rsid w:val="00692D63"/>
    <w:rsid w:val="006A28E8"/>
    <w:rsid w:val="006A36B8"/>
    <w:rsid w:val="006D111F"/>
    <w:rsid w:val="006D4062"/>
    <w:rsid w:val="006F3C72"/>
    <w:rsid w:val="00704B16"/>
    <w:rsid w:val="00716F26"/>
    <w:rsid w:val="00735335"/>
    <w:rsid w:val="0074156A"/>
    <w:rsid w:val="00741EA2"/>
    <w:rsid w:val="00775040"/>
    <w:rsid w:val="00776A0A"/>
    <w:rsid w:val="007809CA"/>
    <w:rsid w:val="00793ADB"/>
    <w:rsid w:val="007A0828"/>
    <w:rsid w:val="007C191C"/>
    <w:rsid w:val="007C530F"/>
    <w:rsid w:val="007C5492"/>
    <w:rsid w:val="007D1E62"/>
    <w:rsid w:val="007D2A38"/>
    <w:rsid w:val="007E7698"/>
    <w:rsid w:val="007F15E9"/>
    <w:rsid w:val="007F383A"/>
    <w:rsid w:val="007F6F60"/>
    <w:rsid w:val="007F7855"/>
    <w:rsid w:val="00815D1A"/>
    <w:rsid w:val="00823FAF"/>
    <w:rsid w:val="00824C5E"/>
    <w:rsid w:val="00840AC3"/>
    <w:rsid w:val="00860044"/>
    <w:rsid w:val="00895246"/>
    <w:rsid w:val="008A35C2"/>
    <w:rsid w:val="008A3D9F"/>
    <w:rsid w:val="008A47A4"/>
    <w:rsid w:val="008F2E68"/>
    <w:rsid w:val="00903808"/>
    <w:rsid w:val="0093233D"/>
    <w:rsid w:val="00932F87"/>
    <w:rsid w:val="00947551"/>
    <w:rsid w:val="00950720"/>
    <w:rsid w:val="0095593D"/>
    <w:rsid w:val="00957B56"/>
    <w:rsid w:val="00977B3B"/>
    <w:rsid w:val="009807AE"/>
    <w:rsid w:val="009821E1"/>
    <w:rsid w:val="00986C3D"/>
    <w:rsid w:val="009A123F"/>
    <w:rsid w:val="009B19F4"/>
    <w:rsid w:val="009C674E"/>
    <w:rsid w:val="009C7FF4"/>
    <w:rsid w:val="009D1DBD"/>
    <w:rsid w:val="009E5AB2"/>
    <w:rsid w:val="009F1D84"/>
    <w:rsid w:val="00A01311"/>
    <w:rsid w:val="00A04B5D"/>
    <w:rsid w:val="00A134B5"/>
    <w:rsid w:val="00A1695A"/>
    <w:rsid w:val="00A324EB"/>
    <w:rsid w:val="00A4382D"/>
    <w:rsid w:val="00A45779"/>
    <w:rsid w:val="00A56143"/>
    <w:rsid w:val="00A61C4A"/>
    <w:rsid w:val="00A6276A"/>
    <w:rsid w:val="00A67A30"/>
    <w:rsid w:val="00A77141"/>
    <w:rsid w:val="00A77AAF"/>
    <w:rsid w:val="00A82682"/>
    <w:rsid w:val="00A92097"/>
    <w:rsid w:val="00AC00F6"/>
    <w:rsid w:val="00AC4F9A"/>
    <w:rsid w:val="00AC70E6"/>
    <w:rsid w:val="00AD4A13"/>
    <w:rsid w:val="00AF2B8A"/>
    <w:rsid w:val="00B016A6"/>
    <w:rsid w:val="00B043F2"/>
    <w:rsid w:val="00B220D1"/>
    <w:rsid w:val="00B25492"/>
    <w:rsid w:val="00B42A50"/>
    <w:rsid w:val="00B45FE4"/>
    <w:rsid w:val="00B509DE"/>
    <w:rsid w:val="00B75697"/>
    <w:rsid w:val="00B77665"/>
    <w:rsid w:val="00B94304"/>
    <w:rsid w:val="00B96AA2"/>
    <w:rsid w:val="00BB770B"/>
    <w:rsid w:val="00BC2F2B"/>
    <w:rsid w:val="00BC311F"/>
    <w:rsid w:val="00BE2634"/>
    <w:rsid w:val="00C00B36"/>
    <w:rsid w:val="00C00DCA"/>
    <w:rsid w:val="00C07E54"/>
    <w:rsid w:val="00C35A52"/>
    <w:rsid w:val="00C426B0"/>
    <w:rsid w:val="00C567E9"/>
    <w:rsid w:val="00C8039A"/>
    <w:rsid w:val="00CA756A"/>
    <w:rsid w:val="00CC5814"/>
    <w:rsid w:val="00CC726F"/>
    <w:rsid w:val="00CE4F05"/>
    <w:rsid w:val="00CF44C2"/>
    <w:rsid w:val="00D1413E"/>
    <w:rsid w:val="00D26666"/>
    <w:rsid w:val="00D370F7"/>
    <w:rsid w:val="00D42664"/>
    <w:rsid w:val="00D45234"/>
    <w:rsid w:val="00D50F2D"/>
    <w:rsid w:val="00D54FD2"/>
    <w:rsid w:val="00D5660D"/>
    <w:rsid w:val="00D655B7"/>
    <w:rsid w:val="00D773F1"/>
    <w:rsid w:val="00D82966"/>
    <w:rsid w:val="00D85AB5"/>
    <w:rsid w:val="00D8607C"/>
    <w:rsid w:val="00DA3056"/>
    <w:rsid w:val="00DD5F04"/>
    <w:rsid w:val="00E104F1"/>
    <w:rsid w:val="00E10C75"/>
    <w:rsid w:val="00E15341"/>
    <w:rsid w:val="00E16512"/>
    <w:rsid w:val="00E173CB"/>
    <w:rsid w:val="00E22335"/>
    <w:rsid w:val="00E36A8B"/>
    <w:rsid w:val="00E549C6"/>
    <w:rsid w:val="00E57C43"/>
    <w:rsid w:val="00E827E3"/>
    <w:rsid w:val="00E9041E"/>
    <w:rsid w:val="00EB4419"/>
    <w:rsid w:val="00F14530"/>
    <w:rsid w:val="00F15E65"/>
    <w:rsid w:val="00F16EAF"/>
    <w:rsid w:val="00F237A9"/>
    <w:rsid w:val="00F36CDC"/>
    <w:rsid w:val="00F40C2C"/>
    <w:rsid w:val="00F453EF"/>
    <w:rsid w:val="00F53CA1"/>
    <w:rsid w:val="00F55494"/>
    <w:rsid w:val="00F62AD6"/>
    <w:rsid w:val="00F67F81"/>
    <w:rsid w:val="00F82B3C"/>
    <w:rsid w:val="00F856EA"/>
    <w:rsid w:val="00F87222"/>
    <w:rsid w:val="00F9380D"/>
    <w:rsid w:val="00F95811"/>
    <w:rsid w:val="00FA2EF1"/>
    <w:rsid w:val="00FC0AE6"/>
    <w:rsid w:val="00FD6351"/>
    <w:rsid w:val="00FD7006"/>
    <w:rsid w:val="00FE65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4E19"/>
  <w15:chartTrackingRefBased/>
  <w15:docId w15:val="{F7DAAA41-4DB4-41D4-9927-221DAE3BB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BE9"/>
    <w:pPr>
      <w:ind w:left="720"/>
      <w:contextualSpacing/>
    </w:pPr>
  </w:style>
  <w:style w:type="character" w:styleId="CommentReference">
    <w:name w:val="annotation reference"/>
    <w:uiPriority w:val="99"/>
    <w:semiHidden/>
    <w:unhideWhenUsed/>
    <w:rsid w:val="004E44B0"/>
    <w:rPr>
      <w:sz w:val="16"/>
      <w:szCs w:val="16"/>
    </w:rPr>
  </w:style>
  <w:style w:type="paragraph" w:styleId="CommentText">
    <w:name w:val="annotation text"/>
    <w:basedOn w:val="Normal"/>
    <w:link w:val="CommentTextChar"/>
    <w:uiPriority w:val="99"/>
    <w:unhideWhenUsed/>
    <w:rsid w:val="004E44B0"/>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E44B0"/>
    <w:rPr>
      <w:rFonts w:ascii="Calibri" w:eastAsia="Calibri" w:hAnsi="Calibri" w:cs="Times New Roman"/>
      <w:sz w:val="20"/>
      <w:szCs w:val="20"/>
    </w:rPr>
  </w:style>
  <w:style w:type="paragraph" w:styleId="FootnoteText">
    <w:name w:val="footnote text"/>
    <w:basedOn w:val="Normal"/>
    <w:link w:val="FootnoteTextChar"/>
    <w:uiPriority w:val="99"/>
    <w:semiHidden/>
    <w:unhideWhenUsed/>
    <w:rsid w:val="004E44B0"/>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4E44B0"/>
    <w:rPr>
      <w:rFonts w:ascii="Calibri" w:eastAsia="Calibri" w:hAnsi="Calibri" w:cs="Times New Roman"/>
      <w:sz w:val="20"/>
      <w:szCs w:val="20"/>
    </w:rPr>
  </w:style>
  <w:style w:type="character" w:styleId="FootnoteReference">
    <w:name w:val="footnote reference"/>
    <w:uiPriority w:val="99"/>
    <w:semiHidden/>
    <w:unhideWhenUsed/>
    <w:rsid w:val="004E44B0"/>
    <w:rPr>
      <w:vertAlign w:val="superscript"/>
    </w:rPr>
  </w:style>
  <w:style w:type="paragraph" w:styleId="BalloonText">
    <w:name w:val="Balloon Text"/>
    <w:basedOn w:val="Normal"/>
    <w:link w:val="BalloonTextChar"/>
    <w:uiPriority w:val="99"/>
    <w:semiHidden/>
    <w:unhideWhenUsed/>
    <w:rsid w:val="004E44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44B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A5A37"/>
    <w:pPr>
      <w:spacing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A5A37"/>
    <w:rPr>
      <w:rFonts w:ascii="Calibri" w:eastAsia="Calibri" w:hAnsi="Calibri" w:cs="Times New Roman"/>
      <w:b/>
      <w:bCs/>
      <w:sz w:val="20"/>
      <w:szCs w:val="20"/>
    </w:rPr>
  </w:style>
  <w:style w:type="character" w:styleId="Hyperlink">
    <w:name w:val="Hyperlink"/>
    <w:basedOn w:val="DefaultParagraphFont"/>
    <w:uiPriority w:val="99"/>
    <w:unhideWhenUsed/>
    <w:rsid w:val="005E6114"/>
    <w:rPr>
      <w:color w:val="0563C1" w:themeColor="hyperlink"/>
      <w:u w:val="single"/>
    </w:rPr>
  </w:style>
  <w:style w:type="character" w:styleId="UnresolvedMention">
    <w:name w:val="Unresolved Mention"/>
    <w:basedOn w:val="DefaultParagraphFont"/>
    <w:uiPriority w:val="99"/>
    <w:semiHidden/>
    <w:unhideWhenUsed/>
    <w:rsid w:val="005E6114"/>
    <w:rPr>
      <w:color w:val="808080"/>
      <w:shd w:val="clear" w:color="auto" w:fill="E6E6E6"/>
    </w:rPr>
  </w:style>
  <w:style w:type="paragraph" w:styleId="Revision">
    <w:name w:val="Revision"/>
    <w:hidden/>
    <w:uiPriority w:val="99"/>
    <w:semiHidden/>
    <w:rsid w:val="005E5267"/>
    <w:pPr>
      <w:spacing w:after="0" w:line="240" w:lineRule="auto"/>
    </w:pPr>
  </w:style>
  <w:style w:type="table" w:styleId="TableGrid">
    <w:name w:val="Table Grid"/>
    <w:basedOn w:val="TableNormal"/>
    <w:uiPriority w:val="39"/>
    <w:rsid w:val="00156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569E3"/>
    <w:pPr>
      <w:spacing w:after="200" w:line="240" w:lineRule="auto"/>
    </w:pPr>
    <w:rPr>
      <w:i/>
      <w:iCs/>
      <w:color w:val="44546A" w:themeColor="text2"/>
      <w:sz w:val="18"/>
      <w:szCs w:val="18"/>
    </w:rPr>
  </w:style>
  <w:style w:type="paragraph" w:styleId="Header">
    <w:name w:val="header"/>
    <w:basedOn w:val="Normal"/>
    <w:link w:val="HeaderChar"/>
    <w:uiPriority w:val="99"/>
    <w:unhideWhenUsed/>
    <w:rsid w:val="00776A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A0A"/>
  </w:style>
  <w:style w:type="paragraph" w:styleId="Footer">
    <w:name w:val="footer"/>
    <w:basedOn w:val="Normal"/>
    <w:link w:val="FooterChar"/>
    <w:uiPriority w:val="99"/>
    <w:unhideWhenUsed/>
    <w:rsid w:val="00776A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A0A"/>
  </w:style>
  <w:style w:type="character" w:styleId="FollowedHyperlink">
    <w:name w:val="FollowedHyperlink"/>
    <w:basedOn w:val="DefaultParagraphFont"/>
    <w:uiPriority w:val="99"/>
    <w:semiHidden/>
    <w:unhideWhenUsed/>
    <w:rsid w:val="00E104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55250">
      <w:bodyDiv w:val="1"/>
      <w:marLeft w:val="0"/>
      <w:marRight w:val="0"/>
      <w:marTop w:val="0"/>
      <w:marBottom w:val="0"/>
      <w:divBdr>
        <w:top w:val="none" w:sz="0" w:space="0" w:color="auto"/>
        <w:left w:val="none" w:sz="0" w:space="0" w:color="auto"/>
        <w:bottom w:val="none" w:sz="0" w:space="0" w:color="auto"/>
        <w:right w:val="none" w:sz="0" w:space="0" w:color="auto"/>
      </w:divBdr>
    </w:div>
    <w:div w:id="53089051">
      <w:bodyDiv w:val="1"/>
      <w:marLeft w:val="0"/>
      <w:marRight w:val="0"/>
      <w:marTop w:val="0"/>
      <w:marBottom w:val="0"/>
      <w:divBdr>
        <w:top w:val="none" w:sz="0" w:space="0" w:color="auto"/>
        <w:left w:val="none" w:sz="0" w:space="0" w:color="auto"/>
        <w:bottom w:val="none" w:sz="0" w:space="0" w:color="auto"/>
        <w:right w:val="none" w:sz="0" w:space="0" w:color="auto"/>
      </w:divBdr>
    </w:div>
    <w:div w:id="217012389">
      <w:bodyDiv w:val="1"/>
      <w:marLeft w:val="0"/>
      <w:marRight w:val="0"/>
      <w:marTop w:val="0"/>
      <w:marBottom w:val="0"/>
      <w:divBdr>
        <w:top w:val="none" w:sz="0" w:space="0" w:color="auto"/>
        <w:left w:val="none" w:sz="0" w:space="0" w:color="auto"/>
        <w:bottom w:val="none" w:sz="0" w:space="0" w:color="auto"/>
        <w:right w:val="none" w:sz="0" w:space="0" w:color="auto"/>
      </w:divBdr>
    </w:div>
    <w:div w:id="524442040">
      <w:bodyDiv w:val="1"/>
      <w:marLeft w:val="0"/>
      <w:marRight w:val="0"/>
      <w:marTop w:val="0"/>
      <w:marBottom w:val="0"/>
      <w:divBdr>
        <w:top w:val="none" w:sz="0" w:space="0" w:color="auto"/>
        <w:left w:val="none" w:sz="0" w:space="0" w:color="auto"/>
        <w:bottom w:val="none" w:sz="0" w:space="0" w:color="auto"/>
        <w:right w:val="none" w:sz="0" w:space="0" w:color="auto"/>
      </w:divBdr>
    </w:div>
    <w:div w:id="886379302">
      <w:bodyDiv w:val="1"/>
      <w:marLeft w:val="0"/>
      <w:marRight w:val="0"/>
      <w:marTop w:val="0"/>
      <w:marBottom w:val="0"/>
      <w:divBdr>
        <w:top w:val="none" w:sz="0" w:space="0" w:color="auto"/>
        <w:left w:val="none" w:sz="0" w:space="0" w:color="auto"/>
        <w:bottom w:val="none" w:sz="0" w:space="0" w:color="auto"/>
        <w:right w:val="none" w:sz="0" w:space="0" w:color="auto"/>
      </w:divBdr>
    </w:div>
    <w:div w:id="1066686369">
      <w:bodyDiv w:val="1"/>
      <w:marLeft w:val="0"/>
      <w:marRight w:val="0"/>
      <w:marTop w:val="0"/>
      <w:marBottom w:val="0"/>
      <w:divBdr>
        <w:top w:val="none" w:sz="0" w:space="0" w:color="auto"/>
        <w:left w:val="none" w:sz="0" w:space="0" w:color="auto"/>
        <w:bottom w:val="none" w:sz="0" w:space="0" w:color="auto"/>
        <w:right w:val="none" w:sz="0" w:space="0" w:color="auto"/>
      </w:divBdr>
    </w:div>
    <w:div w:id="1509057302">
      <w:bodyDiv w:val="1"/>
      <w:marLeft w:val="0"/>
      <w:marRight w:val="0"/>
      <w:marTop w:val="0"/>
      <w:marBottom w:val="0"/>
      <w:divBdr>
        <w:top w:val="none" w:sz="0" w:space="0" w:color="auto"/>
        <w:left w:val="none" w:sz="0" w:space="0" w:color="auto"/>
        <w:bottom w:val="none" w:sz="0" w:space="0" w:color="auto"/>
        <w:right w:val="none" w:sz="0" w:space="0" w:color="auto"/>
      </w:divBdr>
    </w:div>
    <w:div w:id="202389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JS_Statistics@justice.gov.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uk/government/statistics/criminal-justice-system-statistics-quarterly-december-202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ons.gov.uk/peoplepopulationandcommunity/crimeandjustice/articles/sexualoffendingvictimisationandthepaththroughthecriminaljusticesystem/2018-12-13" TargetMode="External"/><Relationship Id="rId1" Type="http://schemas.openxmlformats.org/officeDocument/2006/relationships/hyperlink" Target="http://www.gov.uk/government/statistics/criminal-justice-system-statistics-quarterly-december-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E5A46-FA54-4FB5-9DD7-A6A049C50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Defendants prosecuted for combinations of offences</vt:lpstr>
    </vt:vector>
  </TitlesOfParts>
  <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Defendants prosecuted for combinations of offences</dc:title>
  <dc:subject/>
  <dc:creator>Breeze, Katharine</dc:creator>
  <cp:keywords/>
  <dc:description/>
  <cp:lastModifiedBy>Mould, Aimee</cp:lastModifiedBy>
  <cp:revision>5</cp:revision>
  <cp:lastPrinted>2019-05-15T15:08:00Z</cp:lastPrinted>
  <dcterms:created xsi:type="dcterms:W3CDTF">2024-01-16T12:14:00Z</dcterms:created>
  <dcterms:modified xsi:type="dcterms:W3CDTF">2024-01-16T13:27:00Z</dcterms:modified>
</cp:coreProperties>
</file>